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C13F1" w14:textId="77777777" w:rsidR="00FC7B1D" w:rsidRDefault="00FC7B1D" w:rsidP="00FC7B1D">
      <w:pPr>
        <w:pStyle w:val="Titel"/>
      </w:pPr>
      <w:r>
        <w:t>Supplementary Materials</w:t>
      </w:r>
    </w:p>
    <w:p w14:paraId="3575CF3D" w14:textId="411DADE4" w:rsidR="0081119B" w:rsidRPr="00D22736" w:rsidRDefault="000E575C" w:rsidP="000E575C">
      <w:pPr>
        <w:pStyle w:val="Kop1"/>
      </w:pPr>
      <w:r w:rsidRPr="00D22736">
        <w:t>Supplementary Figures</w:t>
      </w:r>
    </w:p>
    <w:p w14:paraId="674A11EE" w14:textId="5E183BD1" w:rsidR="004E7CEA" w:rsidRPr="00D22736" w:rsidRDefault="00E632F9" w:rsidP="004E7CEA">
      <w:pPr>
        <w:jc w:val="center"/>
        <w:rPr>
          <w:b/>
          <w:bCs/>
        </w:rPr>
      </w:pPr>
      <w:r w:rsidRPr="00D22736">
        <w:rPr>
          <w:b/>
          <w:bCs/>
          <w:noProof/>
        </w:rPr>
        <w:drawing>
          <wp:inline distT="0" distB="0" distL="0" distR="0" wp14:anchorId="62BBAA0C" wp14:editId="788FEA94">
            <wp:extent cx="5076000" cy="2706658"/>
            <wp:effectExtent l="0" t="0" r="0" b="0"/>
            <wp:docPr id="10" name="Picture 10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70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E1FE" w14:textId="3C3DA4CA" w:rsidR="00DF126E" w:rsidRPr="00D22736" w:rsidRDefault="00DF126E" w:rsidP="000007CC">
      <w:bookmarkStart w:id="0" w:name="_Hlk97993765"/>
      <w:r w:rsidRPr="00D22736">
        <w:rPr>
          <w:b/>
          <w:bCs/>
        </w:rPr>
        <w:t>Figure S</w:t>
      </w:r>
      <w:r w:rsidR="004E7CEA" w:rsidRPr="00D22736">
        <w:rPr>
          <w:b/>
          <w:bCs/>
        </w:rPr>
        <w:t>1</w:t>
      </w:r>
      <w:r w:rsidRPr="00D22736">
        <w:t xml:space="preserve"> </w:t>
      </w:r>
      <w:r w:rsidR="005A5602" w:rsidRPr="00D22736">
        <w:rPr>
          <w:i/>
          <w:iCs/>
        </w:rPr>
        <w:t>Magnetic-activated CD4</w:t>
      </w:r>
      <w:r w:rsidR="005A5602" w:rsidRPr="00D22736">
        <w:rPr>
          <w:i/>
          <w:iCs/>
          <w:vertAlign w:val="superscript"/>
        </w:rPr>
        <w:t>+</w:t>
      </w:r>
      <w:r w:rsidR="005A5602" w:rsidRPr="00D22736">
        <w:rPr>
          <w:i/>
          <w:iCs/>
        </w:rPr>
        <w:t>CD25</w:t>
      </w:r>
      <w:r w:rsidR="005A5602" w:rsidRPr="00D22736">
        <w:rPr>
          <w:i/>
          <w:iCs/>
          <w:vertAlign w:val="superscript"/>
        </w:rPr>
        <w:t>+</w:t>
      </w:r>
      <w:r w:rsidR="005A5602" w:rsidRPr="00D22736">
        <w:rPr>
          <w:i/>
          <w:iCs/>
        </w:rPr>
        <w:t>CD127</w:t>
      </w:r>
      <w:r w:rsidR="005A5602" w:rsidRPr="00D22736">
        <w:rPr>
          <w:i/>
          <w:iCs/>
          <w:vertAlign w:val="superscript"/>
        </w:rPr>
        <w:t>-</w:t>
      </w:r>
      <w:r w:rsidR="005A5602" w:rsidRPr="00D22736">
        <w:rPr>
          <w:i/>
          <w:iCs/>
        </w:rPr>
        <w:t xml:space="preserve"> cell sorting purity of human T</w:t>
      </w:r>
      <w:r w:rsidR="005A5602" w:rsidRPr="00D22736">
        <w:rPr>
          <w:i/>
          <w:iCs/>
          <w:vertAlign w:val="subscript"/>
        </w:rPr>
        <w:t>regs</w:t>
      </w:r>
      <w:bookmarkEnd w:id="0"/>
      <w:r w:rsidRPr="00D22736">
        <w:rPr>
          <w:i/>
          <w:iCs/>
        </w:rPr>
        <w:t>.</w:t>
      </w:r>
      <w:r w:rsidRPr="00D22736">
        <w:t xml:space="preserve"> </w:t>
      </w:r>
      <w:r w:rsidR="00E632F9" w:rsidRPr="00D22736">
        <w:t>(</w:t>
      </w:r>
      <w:r w:rsidR="00E632F9" w:rsidRPr="00D22736">
        <w:rPr>
          <w:b/>
          <w:bCs/>
        </w:rPr>
        <w:t>A</w:t>
      </w:r>
      <w:r w:rsidR="00E632F9" w:rsidRPr="00D22736">
        <w:t xml:space="preserve"> to </w:t>
      </w:r>
      <w:r w:rsidR="00E632F9" w:rsidRPr="00D22736">
        <w:rPr>
          <w:b/>
          <w:bCs/>
        </w:rPr>
        <w:t>C</w:t>
      </w:r>
      <w:r w:rsidR="00E632F9" w:rsidRPr="00D22736">
        <w:t xml:space="preserve">) </w:t>
      </w:r>
      <w:r w:rsidR="005A5602" w:rsidRPr="00D22736">
        <w:t xml:space="preserve">Isolation purity of </w:t>
      </w:r>
      <w:r w:rsidRPr="00D22736">
        <w:t>magnetically</w:t>
      </w:r>
      <w:r w:rsidR="005A5602" w:rsidRPr="00D22736">
        <w:t xml:space="preserve"> </w:t>
      </w:r>
      <w:r w:rsidRPr="00D22736">
        <w:t>sorted CD4</w:t>
      </w:r>
      <w:r w:rsidRPr="00D22736">
        <w:rPr>
          <w:vertAlign w:val="superscript"/>
        </w:rPr>
        <w:t>+</w:t>
      </w:r>
      <w:r w:rsidRPr="00D22736">
        <w:t xml:space="preserve"> </w:t>
      </w:r>
      <w:r w:rsidR="00E632F9" w:rsidRPr="00D22736">
        <w:t xml:space="preserve">(A) </w:t>
      </w:r>
      <w:r w:rsidRPr="00D22736">
        <w:t>CD25</w:t>
      </w:r>
      <w:r w:rsidRPr="00D22736">
        <w:rPr>
          <w:vertAlign w:val="superscript"/>
        </w:rPr>
        <w:t>hi</w:t>
      </w:r>
      <w:r w:rsidRPr="00D22736">
        <w:t>CD127</w:t>
      </w:r>
      <w:r w:rsidRPr="00D22736">
        <w:rPr>
          <w:vertAlign w:val="superscript"/>
        </w:rPr>
        <w:t>lo</w:t>
      </w:r>
      <w:r w:rsidRPr="00D22736">
        <w:t xml:space="preserve"> </w:t>
      </w:r>
      <w:r w:rsidR="00E632F9" w:rsidRPr="00D22736">
        <w:t>FoxP3</w:t>
      </w:r>
      <w:r w:rsidR="00E632F9" w:rsidRPr="00D22736">
        <w:rPr>
          <w:vertAlign w:val="superscript"/>
        </w:rPr>
        <w:t>+</w:t>
      </w:r>
      <w:r w:rsidR="00E632F9" w:rsidRPr="00D22736">
        <w:t xml:space="preserve"> (B) </w:t>
      </w:r>
      <w:r w:rsidRPr="00D22736">
        <w:t xml:space="preserve">human </w:t>
      </w:r>
      <w:r w:rsidRPr="00D22736">
        <w:rPr>
          <w:rFonts w:asciiTheme="majorBidi" w:hAnsiTheme="majorBidi" w:cstheme="majorBidi"/>
        </w:rPr>
        <w:t>T</w:t>
      </w:r>
      <w:r w:rsidRPr="00D22736">
        <w:rPr>
          <w:rFonts w:asciiTheme="majorBidi" w:hAnsiTheme="majorBidi" w:cstheme="majorBidi"/>
          <w:vertAlign w:val="subscript"/>
        </w:rPr>
        <w:t>regs</w:t>
      </w:r>
      <w:r w:rsidRPr="00D22736">
        <w:rPr>
          <w:rFonts w:asciiTheme="majorBidi" w:hAnsiTheme="majorBidi" w:cstheme="majorBidi"/>
        </w:rPr>
        <w:t xml:space="preserve"> </w:t>
      </w:r>
      <w:r w:rsidR="00E632F9" w:rsidRPr="00D22736">
        <w:rPr>
          <w:rFonts w:asciiTheme="majorBidi" w:hAnsiTheme="majorBidi" w:cstheme="majorBidi"/>
        </w:rPr>
        <w:t xml:space="preserve">with granzyme B and annexin V expression levels (C) </w:t>
      </w:r>
      <w:r w:rsidR="005A5602" w:rsidRPr="00D22736">
        <w:rPr>
          <w:rFonts w:asciiTheme="majorBidi" w:hAnsiTheme="majorBidi" w:cstheme="majorBidi"/>
        </w:rPr>
        <w:t>immediately post isolation</w:t>
      </w:r>
      <w:r w:rsidRPr="00D22736">
        <w:t>.</w:t>
      </w:r>
      <w:r w:rsidR="00E632F9" w:rsidRPr="00D22736">
        <w:t xml:space="preserve"> </w:t>
      </w:r>
      <w:r w:rsidR="00E632F9" w:rsidRPr="00D22736">
        <w:rPr>
          <w:rFonts w:asciiTheme="majorBidi" w:hAnsiTheme="majorBidi" w:cstheme="majorBidi"/>
        </w:rPr>
        <w:t>GrB, granzyme B.</w:t>
      </w:r>
      <w:r w:rsidRPr="00D22736">
        <w:br w:type="page"/>
      </w:r>
    </w:p>
    <w:p w14:paraId="5443940B" w14:textId="7DEB433C" w:rsidR="00672B8B" w:rsidRPr="00D22736" w:rsidRDefault="00E632F9" w:rsidP="000A49C6">
      <w:pPr>
        <w:jc w:val="center"/>
      </w:pPr>
      <w:r w:rsidRPr="00D22736">
        <w:rPr>
          <w:noProof/>
        </w:rPr>
        <w:lastRenderedPageBreak/>
        <w:drawing>
          <wp:inline distT="0" distB="0" distL="0" distR="0" wp14:anchorId="457F5AB2" wp14:editId="44A7DF20">
            <wp:extent cx="5940000" cy="5439923"/>
            <wp:effectExtent l="0" t="0" r="3810" b="889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43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EAF0" w14:textId="0AC1E3EA" w:rsidR="00672B8B" w:rsidRPr="00D22736" w:rsidRDefault="00672B8B" w:rsidP="00AF0590">
      <w:r w:rsidRPr="00D22736">
        <w:rPr>
          <w:b/>
          <w:bCs/>
        </w:rPr>
        <w:t>Figure S</w:t>
      </w:r>
      <w:r w:rsidR="00DF126E" w:rsidRPr="00D22736">
        <w:rPr>
          <w:b/>
          <w:bCs/>
        </w:rPr>
        <w:t>2</w:t>
      </w:r>
      <w:r w:rsidRPr="00D22736">
        <w:t xml:space="preserve"> </w:t>
      </w:r>
      <w:r w:rsidR="00AF3494" w:rsidRPr="00D22736">
        <w:rPr>
          <w:i/>
          <w:iCs/>
        </w:rPr>
        <w:t>Human T</w:t>
      </w:r>
      <w:r w:rsidR="00AF3494" w:rsidRPr="00D22736">
        <w:rPr>
          <w:i/>
          <w:iCs/>
          <w:vertAlign w:val="subscript"/>
        </w:rPr>
        <w:t>reg</w:t>
      </w:r>
      <w:r w:rsidR="00AF3494" w:rsidRPr="00D22736">
        <w:rPr>
          <w:i/>
          <w:iCs/>
        </w:rPr>
        <w:t xml:space="preserve"> phenotypi</w:t>
      </w:r>
      <w:r w:rsidR="00796D7D" w:rsidRPr="00D22736">
        <w:rPr>
          <w:i/>
          <w:iCs/>
        </w:rPr>
        <w:t xml:space="preserve">ng </w:t>
      </w:r>
      <w:r w:rsidR="00AF3494" w:rsidRPr="00D22736">
        <w:rPr>
          <w:i/>
          <w:iCs/>
        </w:rPr>
        <w:t xml:space="preserve">strategy </w:t>
      </w:r>
      <w:r w:rsidR="00796D7D" w:rsidRPr="00D22736">
        <w:rPr>
          <w:i/>
          <w:iCs/>
        </w:rPr>
        <w:t xml:space="preserve">and activation-induced </w:t>
      </w:r>
      <w:r w:rsidR="00D22736">
        <w:rPr>
          <w:i/>
          <w:iCs/>
        </w:rPr>
        <w:t xml:space="preserve">upregulation of </w:t>
      </w:r>
      <w:r w:rsidR="00796D7D" w:rsidRPr="00D22736">
        <w:rPr>
          <w:i/>
          <w:iCs/>
        </w:rPr>
        <w:t>GrB and apoptosis</w:t>
      </w:r>
      <w:r w:rsidRPr="00D22736">
        <w:rPr>
          <w:i/>
          <w:iCs/>
        </w:rPr>
        <w:t>.</w:t>
      </w:r>
      <w:r w:rsidRPr="00D22736">
        <w:t xml:space="preserve"> </w:t>
      </w:r>
      <w:r w:rsidR="00796D7D" w:rsidRPr="00D22736">
        <w:rPr>
          <w:rFonts w:asciiTheme="majorBidi" w:hAnsiTheme="majorBidi" w:cstheme="majorBidi"/>
        </w:rPr>
        <w:t>Human T</w:t>
      </w:r>
      <w:r w:rsidR="00796D7D" w:rsidRPr="00D22736">
        <w:rPr>
          <w:rFonts w:asciiTheme="majorBidi" w:hAnsiTheme="majorBidi" w:cstheme="majorBidi"/>
          <w:vertAlign w:val="subscript"/>
        </w:rPr>
        <w:t>regs</w:t>
      </w:r>
      <w:r w:rsidR="00796D7D" w:rsidRPr="00D22736">
        <w:rPr>
          <w:rFonts w:asciiTheme="majorBidi" w:hAnsiTheme="majorBidi" w:cstheme="majorBidi"/>
        </w:rPr>
        <w:t xml:space="preserve"> were isolated and expanded for three days with α-CD3, α-CD28, and IL-2</w:t>
      </w:r>
      <w:r w:rsidR="00D26CED" w:rsidRPr="00D22736">
        <w:rPr>
          <w:rFonts w:asciiTheme="majorBidi" w:hAnsiTheme="majorBidi" w:cstheme="majorBidi"/>
        </w:rPr>
        <w:t xml:space="preserve"> (n = 3 technical replicates/condition; 3 representative experiments)</w:t>
      </w:r>
      <w:r w:rsidR="00796D7D" w:rsidRPr="00D22736">
        <w:rPr>
          <w:rFonts w:asciiTheme="majorBidi" w:hAnsiTheme="majorBidi" w:cstheme="majorBidi"/>
        </w:rPr>
        <w:t>. (</w:t>
      </w:r>
      <w:r w:rsidR="00796D7D" w:rsidRPr="00D22736">
        <w:rPr>
          <w:rFonts w:asciiTheme="majorBidi" w:hAnsiTheme="majorBidi" w:cstheme="majorBidi"/>
          <w:b/>
          <w:bCs/>
        </w:rPr>
        <w:t>A</w:t>
      </w:r>
      <w:r w:rsidR="00796D7D" w:rsidRPr="00D22736">
        <w:rPr>
          <w:rFonts w:asciiTheme="majorBidi" w:hAnsiTheme="majorBidi" w:cstheme="majorBidi"/>
        </w:rPr>
        <w:t xml:space="preserve"> to </w:t>
      </w:r>
      <w:r w:rsidR="00796D7D" w:rsidRPr="00D22736">
        <w:rPr>
          <w:rFonts w:asciiTheme="majorBidi" w:hAnsiTheme="majorBidi" w:cstheme="majorBidi"/>
          <w:b/>
          <w:bCs/>
        </w:rPr>
        <w:t>B</w:t>
      </w:r>
      <w:r w:rsidR="00796D7D" w:rsidRPr="00D22736">
        <w:rPr>
          <w:rFonts w:asciiTheme="majorBidi" w:hAnsiTheme="majorBidi" w:cstheme="majorBidi"/>
        </w:rPr>
        <w:t>) Gating strategy identifying magnetically</w:t>
      </w:r>
      <w:r w:rsidR="005A5602" w:rsidRPr="00D22736">
        <w:rPr>
          <w:rFonts w:asciiTheme="majorBidi" w:hAnsiTheme="majorBidi" w:cstheme="majorBidi"/>
        </w:rPr>
        <w:t xml:space="preserve"> </w:t>
      </w:r>
      <w:r w:rsidR="00796D7D" w:rsidRPr="00D22736">
        <w:rPr>
          <w:rFonts w:asciiTheme="majorBidi" w:hAnsiTheme="majorBidi" w:cstheme="majorBidi"/>
        </w:rPr>
        <w:t>sorted</w:t>
      </w:r>
      <w:r w:rsidR="000F18A1" w:rsidRPr="00D22736">
        <w:rPr>
          <w:rFonts w:asciiTheme="majorBidi" w:hAnsiTheme="majorBidi" w:cstheme="majorBidi"/>
        </w:rPr>
        <w:t>, activated</w:t>
      </w:r>
      <w:r w:rsidR="00796D7D" w:rsidRPr="00D22736">
        <w:rPr>
          <w:rFonts w:asciiTheme="majorBidi" w:hAnsiTheme="majorBidi" w:cstheme="majorBidi"/>
        </w:rPr>
        <w:t xml:space="preserve"> human CD4</w:t>
      </w:r>
      <w:r w:rsidR="00796D7D" w:rsidRPr="00D22736">
        <w:rPr>
          <w:rFonts w:asciiTheme="majorBidi" w:hAnsiTheme="majorBidi" w:cstheme="majorBidi"/>
          <w:vertAlign w:val="superscript"/>
        </w:rPr>
        <w:t>+</w:t>
      </w:r>
      <w:r w:rsidR="00796D7D" w:rsidRPr="00D22736">
        <w:rPr>
          <w:rFonts w:asciiTheme="majorBidi" w:hAnsiTheme="majorBidi" w:cstheme="majorBidi"/>
        </w:rPr>
        <w:t xml:space="preserve"> CD25</w:t>
      </w:r>
      <w:r w:rsidR="00796D7D" w:rsidRPr="00D22736">
        <w:rPr>
          <w:rFonts w:asciiTheme="majorBidi" w:hAnsiTheme="majorBidi" w:cstheme="majorBidi"/>
          <w:vertAlign w:val="superscript"/>
        </w:rPr>
        <w:t>hi</w:t>
      </w:r>
      <w:r w:rsidR="00796D7D" w:rsidRPr="00D22736">
        <w:rPr>
          <w:rFonts w:asciiTheme="majorBidi" w:hAnsiTheme="majorBidi" w:cstheme="majorBidi"/>
        </w:rPr>
        <w:t>CD127</w:t>
      </w:r>
      <w:r w:rsidR="00796D7D" w:rsidRPr="00D22736">
        <w:rPr>
          <w:rFonts w:asciiTheme="majorBidi" w:hAnsiTheme="majorBidi" w:cstheme="majorBidi"/>
          <w:vertAlign w:val="superscript"/>
        </w:rPr>
        <w:t>lo</w:t>
      </w:r>
      <w:r w:rsidR="00796D7D" w:rsidRPr="00D22736">
        <w:rPr>
          <w:rFonts w:asciiTheme="majorBidi" w:hAnsiTheme="majorBidi" w:cstheme="majorBidi"/>
        </w:rPr>
        <w:t xml:space="preserve"> T cells </w:t>
      </w:r>
      <w:r w:rsidR="000F18A1" w:rsidRPr="00D22736">
        <w:rPr>
          <w:rFonts w:asciiTheme="majorBidi" w:hAnsiTheme="majorBidi" w:cstheme="majorBidi"/>
        </w:rPr>
        <w:t>(A)</w:t>
      </w:r>
      <w:r w:rsidR="00ED3883" w:rsidRPr="00D22736">
        <w:rPr>
          <w:rFonts w:asciiTheme="majorBidi" w:hAnsiTheme="majorBidi" w:cstheme="majorBidi"/>
        </w:rPr>
        <w:t xml:space="preserve">, </w:t>
      </w:r>
      <w:r w:rsidR="000F18A1" w:rsidRPr="00D22736">
        <w:rPr>
          <w:rFonts w:asciiTheme="majorBidi" w:hAnsiTheme="majorBidi" w:cstheme="majorBidi"/>
        </w:rPr>
        <w:t>and therein the FoxP3</w:t>
      </w:r>
      <w:r w:rsidR="000F18A1" w:rsidRPr="00D22736">
        <w:rPr>
          <w:rFonts w:asciiTheme="majorBidi" w:hAnsiTheme="majorBidi" w:cstheme="majorBidi"/>
          <w:vertAlign w:val="superscript"/>
        </w:rPr>
        <w:t>+</w:t>
      </w:r>
      <w:r w:rsidR="000F18A1" w:rsidRPr="00D22736">
        <w:rPr>
          <w:rFonts w:asciiTheme="majorBidi" w:hAnsiTheme="majorBidi" w:cstheme="majorBidi"/>
        </w:rPr>
        <w:t xml:space="preserve"> subset (B). (</w:t>
      </w:r>
      <w:r w:rsidR="000F18A1" w:rsidRPr="00D22736">
        <w:rPr>
          <w:rFonts w:asciiTheme="majorBidi" w:hAnsiTheme="majorBidi" w:cstheme="majorBidi"/>
          <w:b/>
          <w:bCs/>
        </w:rPr>
        <w:t>C</w:t>
      </w:r>
      <w:r w:rsidR="000F18A1" w:rsidRPr="00D22736">
        <w:rPr>
          <w:rFonts w:asciiTheme="majorBidi" w:hAnsiTheme="majorBidi" w:cstheme="majorBidi"/>
        </w:rPr>
        <w:t>) Flow cytometric analysis of GrB</w:t>
      </w:r>
      <w:r w:rsidR="000F18A1" w:rsidRPr="00D22736">
        <w:rPr>
          <w:rFonts w:asciiTheme="majorBidi" w:hAnsiTheme="majorBidi" w:cstheme="majorBidi"/>
          <w:vertAlign w:val="superscript"/>
        </w:rPr>
        <w:t>+</w:t>
      </w:r>
      <w:r w:rsidR="000F18A1" w:rsidRPr="00D22736">
        <w:rPr>
          <w:rFonts w:asciiTheme="majorBidi" w:hAnsiTheme="majorBidi" w:cstheme="majorBidi"/>
        </w:rPr>
        <w:t xml:space="preserve"> </w:t>
      </w:r>
      <w:r w:rsidR="00AF0590" w:rsidRPr="00D22736">
        <w:rPr>
          <w:rFonts w:asciiTheme="majorBidi" w:hAnsiTheme="majorBidi" w:cstheme="majorBidi"/>
        </w:rPr>
        <w:t>cells among the CD4</w:t>
      </w:r>
      <w:r w:rsidR="00AF0590" w:rsidRPr="00D22736">
        <w:rPr>
          <w:rFonts w:asciiTheme="majorBidi" w:hAnsiTheme="majorBidi" w:cstheme="majorBidi"/>
          <w:vertAlign w:val="superscript"/>
        </w:rPr>
        <w:t>+</w:t>
      </w:r>
      <w:r w:rsidR="00AF0590" w:rsidRPr="00D22736">
        <w:rPr>
          <w:rFonts w:asciiTheme="majorBidi" w:hAnsiTheme="majorBidi" w:cstheme="majorBidi"/>
        </w:rPr>
        <w:t xml:space="preserve"> CD25</w:t>
      </w:r>
      <w:r w:rsidR="00AF0590" w:rsidRPr="00D22736">
        <w:rPr>
          <w:rFonts w:asciiTheme="majorBidi" w:hAnsiTheme="majorBidi" w:cstheme="majorBidi"/>
          <w:vertAlign w:val="superscript"/>
        </w:rPr>
        <w:t>lo</w:t>
      </w:r>
      <w:r w:rsidR="00AF0590" w:rsidRPr="00D22736">
        <w:rPr>
          <w:rFonts w:asciiTheme="majorBidi" w:hAnsiTheme="majorBidi" w:cstheme="majorBidi"/>
        </w:rPr>
        <w:t>CD127</w:t>
      </w:r>
      <w:r w:rsidR="00AF0590" w:rsidRPr="00D22736">
        <w:rPr>
          <w:rFonts w:asciiTheme="majorBidi" w:hAnsiTheme="majorBidi" w:cstheme="majorBidi"/>
          <w:vertAlign w:val="superscript"/>
        </w:rPr>
        <w:t>lo</w:t>
      </w:r>
      <w:r w:rsidR="00AF0590" w:rsidRPr="00D22736">
        <w:rPr>
          <w:rFonts w:asciiTheme="majorBidi" w:hAnsiTheme="majorBidi" w:cstheme="majorBidi"/>
        </w:rPr>
        <w:t xml:space="preserve"> T cell and CD4</w:t>
      </w:r>
      <w:r w:rsidR="00AF0590" w:rsidRPr="00D22736">
        <w:rPr>
          <w:rFonts w:asciiTheme="majorBidi" w:hAnsiTheme="majorBidi" w:cstheme="majorBidi"/>
          <w:vertAlign w:val="superscript"/>
        </w:rPr>
        <w:t>+</w:t>
      </w:r>
      <w:r w:rsidR="00AF0590" w:rsidRPr="00D22736">
        <w:rPr>
          <w:rFonts w:asciiTheme="majorBidi" w:hAnsiTheme="majorBidi" w:cstheme="majorBidi"/>
        </w:rPr>
        <w:t xml:space="preserve"> CD25</w:t>
      </w:r>
      <w:r w:rsidR="00AF0590" w:rsidRPr="00D22736">
        <w:rPr>
          <w:rFonts w:asciiTheme="majorBidi" w:hAnsiTheme="majorBidi" w:cstheme="majorBidi"/>
          <w:vertAlign w:val="superscript"/>
        </w:rPr>
        <w:t>hi</w:t>
      </w:r>
      <w:r w:rsidR="00AF0590" w:rsidRPr="00D22736">
        <w:rPr>
          <w:rFonts w:asciiTheme="majorBidi" w:hAnsiTheme="majorBidi" w:cstheme="majorBidi"/>
        </w:rPr>
        <w:t>CD127</w:t>
      </w:r>
      <w:r w:rsidR="00AF0590" w:rsidRPr="00D22736">
        <w:rPr>
          <w:rFonts w:asciiTheme="majorBidi" w:hAnsiTheme="majorBidi" w:cstheme="majorBidi"/>
          <w:vertAlign w:val="superscript"/>
        </w:rPr>
        <w:t>lo</w:t>
      </w:r>
      <w:r w:rsidR="00AF0590" w:rsidRPr="00D22736">
        <w:rPr>
          <w:rFonts w:asciiTheme="majorBidi" w:hAnsiTheme="majorBidi" w:cstheme="majorBidi"/>
        </w:rPr>
        <w:t xml:space="preserve"> FoxP3</w:t>
      </w:r>
      <w:r w:rsidR="00AF0590" w:rsidRPr="00D22736">
        <w:rPr>
          <w:rFonts w:asciiTheme="majorBidi" w:hAnsiTheme="majorBidi" w:cstheme="majorBidi"/>
          <w:vertAlign w:val="superscript"/>
        </w:rPr>
        <w:t>+</w:t>
      </w:r>
      <w:r w:rsidR="00AF0590" w:rsidRPr="00D22736">
        <w:rPr>
          <w:rFonts w:asciiTheme="majorBidi" w:hAnsiTheme="majorBidi" w:cstheme="majorBidi"/>
        </w:rPr>
        <w:t xml:space="preserve"> T</w:t>
      </w:r>
      <w:r w:rsidR="00AF0590" w:rsidRPr="00D22736">
        <w:rPr>
          <w:rFonts w:asciiTheme="majorBidi" w:hAnsiTheme="majorBidi" w:cstheme="majorBidi"/>
          <w:vertAlign w:val="subscript"/>
        </w:rPr>
        <w:t>reg</w:t>
      </w:r>
      <w:r w:rsidR="00AF0590" w:rsidRPr="00D22736">
        <w:rPr>
          <w:rFonts w:asciiTheme="majorBidi" w:hAnsiTheme="majorBidi" w:cstheme="majorBidi"/>
        </w:rPr>
        <w:t xml:space="preserve"> subsets </w:t>
      </w:r>
      <w:r w:rsidR="000F18A1" w:rsidRPr="00D22736">
        <w:rPr>
          <w:rFonts w:asciiTheme="majorBidi" w:hAnsiTheme="majorBidi" w:cstheme="majorBidi"/>
        </w:rPr>
        <w:t xml:space="preserve">and </w:t>
      </w:r>
      <w:r w:rsidR="00487538" w:rsidRPr="00D22736">
        <w:rPr>
          <w:rFonts w:asciiTheme="majorBidi" w:hAnsiTheme="majorBidi" w:cstheme="majorBidi"/>
        </w:rPr>
        <w:t xml:space="preserve">accompanying </w:t>
      </w:r>
      <w:r w:rsidR="000F18A1" w:rsidRPr="00D22736">
        <w:rPr>
          <w:rFonts w:asciiTheme="majorBidi" w:hAnsiTheme="majorBidi" w:cstheme="majorBidi"/>
        </w:rPr>
        <w:t>box plot</w:t>
      </w:r>
      <w:r w:rsidR="00AF0590" w:rsidRPr="00D22736">
        <w:rPr>
          <w:rFonts w:asciiTheme="majorBidi" w:hAnsiTheme="majorBidi" w:cstheme="majorBidi"/>
        </w:rPr>
        <w:t>s</w:t>
      </w:r>
      <w:r w:rsidR="000F18A1" w:rsidRPr="00D22736">
        <w:rPr>
          <w:rFonts w:asciiTheme="majorBidi" w:hAnsiTheme="majorBidi" w:cstheme="majorBidi"/>
        </w:rPr>
        <w:t>. (</w:t>
      </w:r>
      <w:r w:rsidR="000F18A1" w:rsidRPr="00D22736">
        <w:rPr>
          <w:rFonts w:asciiTheme="majorBidi" w:hAnsiTheme="majorBidi" w:cstheme="majorBidi"/>
          <w:b/>
          <w:bCs/>
        </w:rPr>
        <w:t>D</w:t>
      </w:r>
      <w:r w:rsidR="000F18A1" w:rsidRPr="00D22736">
        <w:rPr>
          <w:rFonts w:asciiTheme="majorBidi" w:hAnsiTheme="majorBidi" w:cstheme="majorBidi"/>
        </w:rPr>
        <w:t>) Flow cytometric analysis and box plot</w:t>
      </w:r>
      <w:r w:rsidR="00AF0590" w:rsidRPr="00D22736">
        <w:rPr>
          <w:rFonts w:asciiTheme="majorBidi" w:hAnsiTheme="majorBidi" w:cstheme="majorBidi"/>
        </w:rPr>
        <w:t>s</w:t>
      </w:r>
      <w:r w:rsidR="000F18A1" w:rsidRPr="00D22736">
        <w:rPr>
          <w:rFonts w:asciiTheme="majorBidi" w:hAnsiTheme="majorBidi" w:cstheme="majorBidi"/>
        </w:rPr>
        <w:t xml:space="preserve"> of Annexin V</w:t>
      </w:r>
      <w:r w:rsidR="000F18A1" w:rsidRPr="00D22736">
        <w:rPr>
          <w:rFonts w:asciiTheme="majorBidi" w:hAnsiTheme="majorBidi" w:cstheme="majorBidi"/>
          <w:vertAlign w:val="superscript"/>
        </w:rPr>
        <w:t>+</w:t>
      </w:r>
      <w:r w:rsidR="000F18A1" w:rsidRPr="00D22736">
        <w:rPr>
          <w:rFonts w:asciiTheme="majorBidi" w:hAnsiTheme="majorBidi" w:cstheme="majorBidi"/>
        </w:rPr>
        <w:t xml:space="preserve"> </w:t>
      </w:r>
      <w:r w:rsidR="00AF0590" w:rsidRPr="00D22736">
        <w:rPr>
          <w:rFonts w:asciiTheme="majorBidi" w:hAnsiTheme="majorBidi" w:cstheme="majorBidi"/>
        </w:rPr>
        <w:t>cells among the CD4</w:t>
      </w:r>
      <w:r w:rsidR="00AF0590" w:rsidRPr="00D22736">
        <w:rPr>
          <w:rFonts w:asciiTheme="majorBidi" w:hAnsiTheme="majorBidi" w:cstheme="majorBidi"/>
          <w:vertAlign w:val="superscript"/>
        </w:rPr>
        <w:t>+</w:t>
      </w:r>
      <w:r w:rsidR="00AF0590" w:rsidRPr="00D22736">
        <w:rPr>
          <w:rFonts w:asciiTheme="majorBidi" w:hAnsiTheme="majorBidi" w:cstheme="majorBidi"/>
        </w:rPr>
        <w:t xml:space="preserve"> CD25</w:t>
      </w:r>
      <w:r w:rsidR="00AF0590" w:rsidRPr="00D22736">
        <w:rPr>
          <w:rFonts w:asciiTheme="majorBidi" w:hAnsiTheme="majorBidi" w:cstheme="majorBidi"/>
          <w:vertAlign w:val="superscript"/>
        </w:rPr>
        <w:t>lo</w:t>
      </w:r>
      <w:r w:rsidR="00AF0590" w:rsidRPr="00D22736">
        <w:rPr>
          <w:rFonts w:asciiTheme="majorBidi" w:hAnsiTheme="majorBidi" w:cstheme="majorBidi"/>
        </w:rPr>
        <w:t>CD127</w:t>
      </w:r>
      <w:r w:rsidR="00AF0590" w:rsidRPr="00D22736">
        <w:rPr>
          <w:rFonts w:asciiTheme="majorBidi" w:hAnsiTheme="majorBidi" w:cstheme="majorBidi"/>
          <w:vertAlign w:val="superscript"/>
        </w:rPr>
        <w:t>lo</w:t>
      </w:r>
      <w:r w:rsidR="00AF0590" w:rsidRPr="00D22736">
        <w:rPr>
          <w:rFonts w:asciiTheme="majorBidi" w:hAnsiTheme="majorBidi" w:cstheme="majorBidi"/>
        </w:rPr>
        <w:t xml:space="preserve"> T cell and CD4</w:t>
      </w:r>
      <w:r w:rsidR="00AF0590" w:rsidRPr="00D22736">
        <w:rPr>
          <w:rFonts w:asciiTheme="majorBidi" w:hAnsiTheme="majorBidi" w:cstheme="majorBidi"/>
          <w:vertAlign w:val="superscript"/>
        </w:rPr>
        <w:t>+</w:t>
      </w:r>
      <w:r w:rsidR="00AF0590" w:rsidRPr="00D22736">
        <w:rPr>
          <w:rFonts w:asciiTheme="majorBidi" w:hAnsiTheme="majorBidi" w:cstheme="majorBidi"/>
        </w:rPr>
        <w:t xml:space="preserve"> CD25</w:t>
      </w:r>
      <w:r w:rsidR="00AF0590" w:rsidRPr="00D22736">
        <w:rPr>
          <w:rFonts w:asciiTheme="majorBidi" w:hAnsiTheme="majorBidi" w:cstheme="majorBidi"/>
          <w:vertAlign w:val="superscript"/>
        </w:rPr>
        <w:t>hi</w:t>
      </w:r>
      <w:r w:rsidR="00AF0590" w:rsidRPr="00D22736">
        <w:rPr>
          <w:rFonts w:asciiTheme="majorBidi" w:hAnsiTheme="majorBidi" w:cstheme="majorBidi"/>
        </w:rPr>
        <w:t>CD127</w:t>
      </w:r>
      <w:r w:rsidR="00AF0590" w:rsidRPr="00D22736">
        <w:rPr>
          <w:rFonts w:asciiTheme="majorBidi" w:hAnsiTheme="majorBidi" w:cstheme="majorBidi"/>
          <w:vertAlign w:val="superscript"/>
        </w:rPr>
        <w:t>lo</w:t>
      </w:r>
      <w:r w:rsidR="00AF0590" w:rsidRPr="00D22736">
        <w:rPr>
          <w:rFonts w:asciiTheme="majorBidi" w:hAnsiTheme="majorBidi" w:cstheme="majorBidi"/>
        </w:rPr>
        <w:t xml:space="preserve"> FoxP3</w:t>
      </w:r>
      <w:r w:rsidR="00AF0590" w:rsidRPr="00D22736">
        <w:rPr>
          <w:rFonts w:asciiTheme="majorBidi" w:hAnsiTheme="majorBidi" w:cstheme="majorBidi"/>
          <w:vertAlign w:val="superscript"/>
        </w:rPr>
        <w:t>+</w:t>
      </w:r>
      <w:r w:rsidR="00AF0590" w:rsidRPr="00D22736">
        <w:rPr>
          <w:rFonts w:asciiTheme="majorBidi" w:hAnsiTheme="majorBidi" w:cstheme="majorBidi"/>
        </w:rPr>
        <w:t xml:space="preserve"> T</w:t>
      </w:r>
      <w:r w:rsidR="00AF0590" w:rsidRPr="00D22736">
        <w:rPr>
          <w:rFonts w:asciiTheme="majorBidi" w:hAnsiTheme="majorBidi" w:cstheme="majorBidi"/>
          <w:vertAlign w:val="subscript"/>
        </w:rPr>
        <w:t>reg</w:t>
      </w:r>
      <w:r w:rsidR="00AF0590" w:rsidRPr="00D22736">
        <w:rPr>
          <w:rFonts w:asciiTheme="majorBidi" w:hAnsiTheme="majorBidi" w:cstheme="majorBidi"/>
        </w:rPr>
        <w:t xml:space="preserve"> subsets</w:t>
      </w:r>
      <w:r w:rsidR="000F18A1" w:rsidRPr="00D22736">
        <w:rPr>
          <w:rFonts w:asciiTheme="majorBidi" w:hAnsiTheme="majorBidi" w:cstheme="majorBidi"/>
        </w:rPr>
        <w:t>.</w:t>
      </w:r>
      <w:r w:rsidR="00ED3883" w:rsidRPr="00D22736">
        <w:rPr>
          <w:rFonts w:asciiTheme="majorBidi" w:hAnsiTheme="majorBidi" w:cstheme="majorBidi"/>
        </w:rPr>
        <w:t xml:space="preserve"> (</w:t>
      </w:r>
      <w:r w:rsidR="00ED3883" w:rsidRPr="00D22736">
        <w:rPr>
          <w:rFonts w:asciiTheme="majorBidi" w:hAnsiTheme="majorBidi" w:cstheme="majorBidi"/>
          <w:b/>
          <w:bCs/>
        </w:rPr>
        <w:t>E</w:t>
      </w:r>
      <w:r w:rsidR="00ED3883" w:rsidRPr="00D22736">
        <w:rPr>
          <w:rFonts w:asciiTheme="majorBidi" w:hAnsiTheme="majorBidi" w:cstheme="majorBidi"/>
        </w:rPr>
        <w:t>) Flow cytometric analysis of Annexin V</w:t>
      </w:r>
      <w:r w:rsidR="00ED3883" w:rsidRPr="00D22736">
        <w:rPr>
          <w:rFonts w:asciiTheme="majorBidi" w:hAnsiTheme="majorBidi" w:cstheme="majorBidi"/>
          <w:vertAlign w:val="superscript"/>
        </w:rPr>
        <w:t>+</w:t>
      </w:r>
      <w:r w:rsidR="00ED3883" w:rsidRPr="00D22736">
        <w:rPr>
          <w:rFonts w:asciiTheme="majorBidi" w:hAnsiTheme="majorBidi" w:cstheme="majorBidi"/>
        </w:rPr>
        <w:t xml:space="preserve"> cells among GrB</w:t>
      </w:r>
      <w:r w:rsidR="00ED3883" w:rsidRPr="00D22736">
        <w:rPr>
          <w:rFonts w:asciiTheme="majorBidi" w:hAnsiTheme="majorBidi" w:cstheme="majorBidi"/>
          <w:vertAlign w:val="superscript"/>
        </w:rPr>
        <w:t>-</w:t>
      </w:r>
      <w:r w:rsidR="00ED3883" w:rsidRPr="00D22736">
        <w:rPr>
          <w:rFonts w:asciiTheme="majorBidi" w:hAnsiTheme="majorBidi" w:cstheme="majorBidi"/>
        </w:rPr>
        <w:t xml:space="preserve"> and GrB</w:t>
      </w:r>
      <w:r w:rsidR="00ED3883" w:rsidRPr="00D22736">
        <w:rPr>
          <w:rFonts w:asciiTheme="majorBidi" w:hAnsiTheme="majorBidi" w:cstheme="majorBidi"/>
          <w:vertAlign w:val="superscript"/>
        </w:rPr>
        <w:t>+</w:t>
      </w:r>
      <w:r w:rsidR="00ED3883" w:rsidRPr="00D22736">
        <w:rPr>
          <w:rFonts w:asciiTheme="majorBidi" w:hAnsiTheme="majorBidi" w:cstheme="majorBidi"/>
        </w:rPr>
        <w:t xml:space="preserve"> FoxP3</w:t>
      </w:r>
      <w:r w:rsidR="00ED3883" w:rsidRPr="00D22736">
        <w:rPr>
          <w:rFonts w:asciiTheme="majorBidi" w:hAnsiTheme="majorBidi" w:cstheme="majorBidi"/>
          <w:vertAlign w:val="superscript"/>
        </w:rPr>
        <w:t>+</w:t>
      </w:r>
      <w:r w:rsidR="00ED3883" w:rsidRPr="00D22736">
        <w:rPr>
          <w:rFonts w:asciiTheme="majorBidi" w:hAnsiTheme="majorBidi" w:cstheme="majorBidi"/>
        </w:rPr>
        <w:t xml:space="preserve"> T</w:t>
      </w:r>
      <w:r w:rsidR="00ED3883" w:rsidRPr="00D22736">
        <w:rPr>
          <w:rFonts w:asciiTheme="majorBidi" w:hAnsiTheme="majorBidi" w:cstheme="majorBidi"/>
          <w:vertAlign w:val="subscript"/>
        </w:rPr>
        <w:t>reg</w:t>
      </w:r>
      <w:r w:rsidR="00ED3883" w:rsidRPr="00D22736">
        <w:rPr>
          <w:rFonts w:asciiTheme="majorBidi" w:hAnsiTheme="majorBidi" w:cstheme="majorBidi"/>
        </w:rPr>
        <w:t xml:space="preserve"> subsets, </w:t>
      </w:r>
      <w:r w:rsidR="00D26CED" w:rsidRPr="00D22736">
        <w:rPr>
          <w:rFonts w:asciiTheme="majorBidi" w:hAnsiTheme="majorBidi" w:cstheme="majorBidi"/>
        </w:rPr>
        <w:t xml:space="preserve">including </w:t>
      </w:r>
      <w:r w:rsidR="00ED3883" w:rsidRPr="00D22736">
        <w:rPr>
          <w:rFonts w:asciiTheme="majorBidi" w:hAnsiTheme="majorBidi" w:cstheme="majorBidi"/>
        </w:rPr>
        <w:t>box plot</w:t>
      </w:r>
      <w:r w:rsidR="00D26CED" w:rsidRPr="00D22736">
        <w:rPr>
          <w:rFonts w:asciiTheme="majorBidi" w:hAnsiTheme="majorBidi" w:cstheme="majorBidi"/>
        </w:rPr>
        <w:t>s. (</w:t>
      </w:r>
      <w:r w:rsidR="00D26CED" w:rsidRPr="00D22736">
        <w:rPr>
          <w:rFonts w:asciiTheme="majorBidi" w:hAnsiTheme="majorBidi" w:cstheme="majorBidi"/>
          <w:b/>
          <w:bCs/>
        </w:rPr>
        <w:t>F</w:t>
      </w:r>
      <w:r w:rsidR="00D26CED" w:rsidRPr="00D22736">
        <w:rPr>
          <w:rFonts w:asciiTheme="majorBidi" w:hAnsiTheme="majorBidi" w:cstheme="majorBidi"/>
        </w:rPr>
        <w:t>) Box plots of Annexin V MFI among total GrB (GrB</w:t>
      </w:r>
      <w:r w:rsidR="00D26CED" w:rsidRPr="00D22736">
        <w:rPr>
          <w:rFonts w:asciiTheme="majorBidi" w:hAnsiTheme="majorBidi" w:cstheme="majorBidi"/>
          <w:vertAlign w:val="superscript"/>
        </w:rPr>
        <w:t>+/-</w:t>
      </w:r>
      <w:r w:rsidR="00D26CED" w:rsidRPr="00D22736">
        <w:rPr>
          <w:rFonts w:asciiTheme="majorBidi" w:hAnsiTheme="majorBidi" w:cstheme="majorBidi"/>
        </w:rPr>
        <w:t>), GrB</w:t>
      </w:r>
      <w:r w:rsidR="00D26CED" w:rsidRPr="00D22736">
        <w:rPr>
          <w:rFonts w:asciiTheme="majorBidi" w:hAnsiTheme="majorBidi" w:cstheme="majorBidi"/>
          <w:vertAlign w:val="superscript"/>
        </w:rPr>
        <w:t>-</w:t>
      </w:r>
      <w:r w:rsidR="00D26CED" w:rsidRPr="00D22736">
        <w:rPr>
          <w:rFonts w:asciiTheme="majorBidi" w:hAnsiTheme="majorBidi" w:cstheme="majorBidi"/>
        </w:rPr>
        <w:t>, and GrB</w:t>
      </w:r>
      <w:r w:rsidR="00D26CED" w:rsidRPr="00D22736">
        <w:rPr>
          <w:rFonts w:asciiTheme="majorBidi" w:hAnsiTheme="majorBidi" w:cstheme="majorBidi"/>
          <w:vertAlign w:val="superscript"/>
        </w:rPr>
        <w:t>+</w:t>
      </w:r>
      <w:r w:rsidR="00D26CED" w:rsidRPr="00D22736">
        <w:rPr>
          <w:rFonts w:asciiTheme="majorBidi" w:hAnsiTheme="majorBidi" w:cstheme="majorBidi"/>
        </w:rPr>
        <w:t xml:space="preserve"> FoxP3</w:t>
      </w:r>
      <w:r w:rsidR="00D26CED" w:rsidRPr="00D22736">
        <w:rPr>
          <w:rFonts w:asciiTheme="majorBidi" w:hAnsiTheme="majorBidi" w:cstheme="majorBidi"/>
          <w:vertAlign w:val="superscript"/>
        </w:rPr>
        <w:t>+</w:t>
      </w:r>
      <w:r w:rsidR="00D26CED" w:rsidRPr="00D22736">
        <w:rPr>
          <w:rFonts w:asciiTheme="majorBidi" w:hAnsiTheme="majorBidi" w:cstheme="majorBidi"/>
        </w:rPr>
        <w:t xml:space="preserve"> T</w:t>
      </w:r>
      <w:r w:rsidR="00D26CED" w:rsidRPr="00D22736">
        <w:rPr>
          <w:rFonts w:asciiTheme="majorBidi" w:hAnsiTheme="majorBidi" w:cstheme="majorBidi"/>
          <w:vertAlign w:val="subscript"/>
        </w:rPr>
        <w:t>reg</w:t>
      </w:r>
      <w:r w:rsidR="00D26CED" w:rsidRPr="00D22736">
        <w:rPr>
          <w:rFonts w:asciiTheme="majorBidi" w:hAnsiTheme="majorBidi" w:cstheme="majorBidi"/>
        </w:rPr>
        <w:t xml:space="preserve"> subsets. </w:t>
      </w:r>
      <w:r w:rsidR="00796D7D" w:rsidRPr="00D22736">
        <w:rPr>
          <w:rFonts w:asciiTheme="majorBidi" w:hAnsiTheme="majorBidi" w:cstheme="majorBidi"/>
        </w:rPr>
        <w:t xml:space="preserve">Data represent boxplots with </w:t>
      </w:r>
      <w:r w:rsidR="00796D7D" w:rsidRPr="00D22736">
        <w:rPr>
          <w:rFonts w:asciiTheme="majorBidi" w:hAnsiTheme="majorBidi" w:cstheme="majorBidi"/>
        </w:rPr>
        <w:lastRenderedPageBreak/>
        <w:t xml:space="preserve">median, interquartile range, minimum, maximum, and all individual data points of the denoted experimental groups. </w:t>
      </w:r>
      <w:r w:rsidR="00796D7D" w:rsidRPr="00D22736">
        <w:rPr>
          <w:rFonts w:asciiTheme="majorBidi" w:hAnsiTheme="majorBidi" w:cstheme="majorBidi"/>
          <w:i/>
          <w:iCs/>
        </w:rPr>
        <w:t>P</w:t>
      </w:r>
      <w:r w:rsidR="00796D7D" w:rsidRPr="00D22736">
        <w:rPr>
          <w:rFonts w:asciiTheme="majorBidi" w:hAnsiTheme="majorBidi" w:cstheme="majorBidi"/>
        </w:rPr>
        <w:t xml:space="preserve"> values were calculated with independent samples two-tailed Student’s </w:t>
      </w:r>
      <w:r w:rsidR="00796D7D" w:rsidRPr="00D22736">
        <w:rPr>
          <w:rFonts w:asciiTheme="majorBidi" w:hAnsiTheme="majorBidi" w:cstheme="majorBidi"/>
          <w:i/>
          <w:iCs/>
        </w:rPr>
        <w:t>t</w:t>
      </w:r>
      <w:r w:rsidR="00796D7D" w:rsidRPr="00D22736">
        <w:rPr>
          <w:rFonts w:asciiTheme="majorBidi" w:hAnsiTheme="majorBidi" w:cstheme="majorBidi"/>
        </w:rPr>
        <w:t xml:space="preserve">-tests, and non-parametric Mann-Whitney </w:t>
      </w:r>
      <w:r w:rsidR="00796D7D" w:rsidRPr="00D22736">
        <w:rPr>
          <w:rFonts w:asciiTheme="majorBidi" w:hAnsiTheme="majorBidi" w:cstheme="majorBidi"/>
          <w:i/>
          <w:iCs/>
        </w:rPr>
        <w:t>U</w:t>
      </w:r>
      <w:r w:rsidR="00796D7D" w:rsidRPr="00D22736">
        <w:rPr>
          <w:rFonts w:asciiTheme="majorBidi" w:hAnsiTheme="majorBidi" w:cstheme="majorBidi"/>
        </w:rPr>
        <w:t xml:space="preserve">-tests were performed when the assumption of homoscedasticity could not be met. </w:t>
      </w:r>
      <w:r w:rsidR="00D26CED" w:rsidRPr="00D22736">
        <w:rPr>
          <w:rFonts w:asciiTheme="majorBidi" w:hAnsiTheme="majorBidi" w:cstheme="majorBidi"/>
        </w:rPr>
        <w:t>For analyses with more than two groups</w:t>
      </w:r>
      <w:r w:rsidR="001773F0" w:rsidRPr="00D22736">
        <w:rPr>
          <w:rFonts w:asciiTheme="majorBidi" w:hAnsiTheme="majorBidi" w:cstheme="majorBidi"/>
        </w:rPr>
        <w:t>,</w:t>
      </w:r>
      <w:r w:rsidR="00D26CED" w:rsidRPr="00D22736">
        <w:t xml:space="preserve"> one-way analyses of variance followed by Holm-</w:t>
      </w:r>
      <w:proofErr w:type="spellStart"/>
      <w:r w:rsidR="00D26CED" w:rsidRPr="00D22736">
        <w:t>Šídák</w:t>
      </w:r>
      <w:proofErr w:type="spellEnd"/>
      <w:r w:rsidR="00D26CED" w:rsidRPr="00D22736">
        <w:t xml:space="preserve"> multiple comparison tests</w:t>
      </w:r>
      <w:r w:rsidR="001773F0" w:rsidRPr="00D22736">
        <w:t xml:space="preserve"> were </w:t>
      </w:r>
      <w:r w:rsidR="00487538" w:rsidRPr="00D22736">
        <w:t>performed</w:t>
      </w:r>
      <w:r w:rsidR="00D26CED" w:rsidRPr="00D22736">
        <w:rPr>
          <w:rFonts w:asciiTheme="majorBidi" w:hAnsiTheme="majorBidi" w:cstheme="majorBidi"/>
        </w:rPr>
        <w:t xml:space="preserve">. </w:t>
      </w:r>
      <w:r w:rsidR="00796D7D" w:rsidRPr="00D22736">
        <w:rPr>
          <w:rFonts w:asciiTheme="majorBidi" w:hAnsiTheme="majorBidi" w:cstheme="majorBidi"/>
        </w:rPr>
        <w:t>GrB, granzyme B</w:t>
      </w:r>
      <w:r w:rsidR="002B5EF2" w:rsidRPr="00D22736">
        <w:rPr>
          <w:rFonts w:asciiTheme="majorBidi" w:hAnsiTheme="majorBidi" w:cstheme="majorBidi"/>
        </w:rPr>
        <w:t>; MFI, mean fluorescence intensity</w:t>
      </w:r>
      <w:r w:rsidR="00796D7D" w:rsidRPr="00D22736">
        <w:rPr>
          <w:rFonts w:asciiTheme="majorBidi" w:hAnsiTheme="majorBidi" w:cstheme="majorBidi"/>
        </w:rPr>
        <w:t>.</w:t>
      </w:r>
      <w:r w:rsidRPr="00D22736">
        <w:br w:type="page"/>
      </w:r>
    </w:p>
    <w:p w14:paraId="64665FB9" w14:textId="17291C03" w:rsidR="00672B8B" w:rsidRPr="00D22736" w:rsidRDefault="00E632F9" w:rsidP="00672B8B">
      <w:pPr>
        <w:jc w:val="center"/>
      </w:pPr>
      <w:r w:rsidRPr="00D22736">
        <w:rPr>
          <w:noProof/>
        </w:rPr>
        <w:lastRenderedPageBreak/>
        <w:drawing>
          <wp:inline distT="0" distB="0" distL="0" distR="0" wp14:anchorId="1F2459FC" wp14:editId="5E94DB36">
            <wp:extent cx="5076000" cy="2709911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7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6718" w14:textId="5BB8DF6C" w:rsidR="00400F4B" w:rsidRPr="00D22736" w:rsidRDefault="00672B8B" w:rsidP="000007CC">
      <w:pPr>
        <w:rPr>
          <w:rFonts w:asciiTheme="majorBidi" w:hAnsiTheme="majorBidi" w:cstheme="majorBidi"/>
        </w:rPr>
      </w:pPr>
      <w:r w:rsidRPr="00D22736">
        <w:rPr>
          <w:b/>
          <w:bCs/>
        </w:rPr>
        <w:t>Figure S</w:t>
      </w:r>
      <w:r w:rsidR="00DF126E" w:rsidRPr="00D22736">
        <w:rPr>
          <w:b/>
          <w:bCs/>
        </w:rPr>
        <w:t>3</w:t>
      </w:r>
      <w:r w:rsidRPr="00D22736">
        <w:t xml:space="preserve"> </w:t>
      </w:r>
      <w:r w:rsidR="00136013" w:rsidRPr="00D22736">
        <w:rPr>
          <w:i/>
          <w:iCs/>
        </w:rPr>
        <w:t xml:space="preserve">Rapamycin experiments </w:t>
      </w:r>
      <w:r w:rsidR="00487538" w:rsidRPr="00D22736">
        <w:rPr>
          <w:i/>
          <w:iCs/>
        </w:rPr>
        <w:t xml:space="preserve">phenotyping strategy and supplementary box plots </w:t>
      </w:r>
      <w:r w:rsidR="00136013" w:rsidRPr="00D22736">
        <w:rPr>
          <w:i/>
          <w:iCs/>
        </w:rPr>
        <w:t xml:space="preserve">related to </w:t>
      </w:r>
      <w:r w:rsidR="00487538" w:rsidRPr="00D22736">
        <w:rPr>
          <w:i/>
          <w:iCs/>
        </w:rPr>
        <w:t>figure 1</w:t>
      </w:r>
      <w:r w:rsidRPr="00D22736">
        <w:rPr>
          <w:i/>
          <w:iCs/>
        </w:rPr>
        <w:t>.</w:t>
      </w:r>
      <w:r w:rsidRPr="00D22736">
        <w:t xml:space="preserve"> </w:t>
      </w:r>
      <w:r w:rsidR="00400F4B" w:rsidRPr="00D22736">
        <w:t>(</w:t>
      </w:r>
      <w:r w:rsidR="00400F4B" w:rsidRPr="00D22736">
        <w:rPr>
          <w:b/>
          <w:bCs/>
        </w:rPr>
        <w:t>A</w:t>
      </w:r>
      <w:r w:rsidR="00400F4B" w:rsidRPr="00D22736">
        <w:t>) Gating strategy identifying magnetically</w:t>
      </w:r>
      <w:r w:rsidR="005A5602" w:rsidRPr="00D22736">
        <w:t xml:space="preserve"> </w:t>
      </w:r>
      <w:r w:rsidR="00400F4B" w:rsidRPr="00D22736">
        <w:t>sorted, activated human CD4</w:t>
      </w:r>
      <w:r w:rsidR="00400F4B" w:rsidRPr="00D22736">
        <w:rPr>
          <w:vertAlign w:val="superscript"/>
        </w:rPr>
        <w:t>+</w:t>
      </w:r>
      <w:r w:rsidR="00400F4B" w:rsidRPr="00D22736">
        <w:t xml:space="preserve"> T cells. (</w:t>
      </w:r>
      <w:r w:rsidR="00400F4B" w:rsidRPr="00D22736">
        <w:rPr>
          <w:b/>
          <w:bCs/>
        </w:rPr>
        <w:t>B</w:t>
      </w:r>
      <w:r w:rsidR="00400F4B" w:rsidRPr="00D22736">
        <w:t xml:space="preserve"> to </w:t>
      </w:r>
      <w:r w:rsidR="00400F4B" w:rsidRPr="00D22736">
        <w:rPr>
          <w:b/>
          <w:bCs/>
        </w:rPr>
        <w:t>D</w:t>
      </w:r>
      <w:r w:rsidR="00400F4B" w:rsidRPr="00D22736">
        <w:t xml:space="preserve">) </w:t>
      </w:r>
      <w:r w:rsidR="00400F4B" w:rsidRPr="00D22736">
        <w:rPr>
          <w:rFonts w:asciiTheme="majorBidi" w:hAnsiTheme="majorBidi" w:cstheme="majorBidi"/>
        </w:rPr>
        <w:t>Box plots of GrB (B) and Annexin V (C) mean fluorescence intensities (MFIs), and percentages of live Annexin V</w:t>
      </w:r>
      <w:r w:rsidR="00400F4B" w:rsidRPr="00D22736">
        <w:rPr>
          <w:rFonts w:asciiTheme="majorBidi" w:hAnsiTheme="majorBidi" w:cstheme="majorBidi"/>
          <w:vertAlign w:val="superscript"/>
        </w:rPr>
        <w:t>-</w:t>
      </w:r>
      <w:r w:rsidR="00400F4B" w:rsidRPr="00D22736">
        <w:rPr>
          <w:rFonts w:asciiTheme="majorBidi" w:hAnsiTheme="majorBidi" w:cstheme="majorBidi"/>
        </w:rPr>
        <w:t xml:space="preserve"> CD25</w:t>
      </w:r>
      <w:r w:rsidR="00400F4B" w:rsidRPr="00D22736">
        <w:rPr>
          <w:rFonts w:asciiTheme="majorBidi" w:hAnsiTheme="majorBidi" w:cstheme="majorBidi"/>
          <w:vertAlign w:val="superscript"/>
        </w:rPr>
        <w:t>hi</w:t>
      </w:r>
      <w:r w:rsidR="00400F4B" w:rsidRPr="00D22736">
        <w:rPr>
          <w:rFonts w:asciiTheme="majorBidi" w:hAnsiTheme="majorBidi" w:cstheme="majorBidi"/>
        </w:rPr>
        <w:t>CD127</w:t>
      </w:r>
      <w:r w:rsidR="00400F4B" w:rsidRPr="00D22736">
        <w:rPr>
          <w:rFonts w:asciiTheme="majorBidi" w:hAnsiTheme="majorBidi" w:cstheme="majorBidi"/>
          <w:vertAlign w:val="superscript"/>
        </w:rPr>
        <w:t>lo</w:t>
      </w:r>
      <w:r w:rsidR="00400F4B" w:rsidRPr="00D22736">
        <w:rPr>
          <w:rFonts w:asciiTheme="majorBidi" w:hAnsiTheme="majorBidi" w:cstheme="majorBidi"/>
        </w:rPr>
        <w:t xml:space="preserve"> FoxP3</w:t>
      </w:r>
      <w:r w:rsidR="00400F4B" w:rsidRPr="00D22736">
        <w:rPr>
          <w:rFonts w:asciiTheme="majorBidi" w:hAnsiTheme="majorBidi" w:cstheme="majorBidi"/>
          <w:vertAlign w:val="superscript"/>
        </w:rPr>
        <w:t>+</w:t>
      </w:r>
      <w:r w:rsidR="00400F4B" w:rsidRPr="00D22736">
        <w:rPr>
          <w:rFonts w:asciiTheme="majorBidi" w:hAnsiTheme="majorBidi" w:cstheme="majorBidi"/>
        </w:rPr>
        <w:t xml:space="preserve"> T</w:t>
      </w:r>
      <w:r w:rsidR="00400F4B" w:rsidRPr="00D22736">
        <w:rPr>
          <w:rFonts w:asciiTheme="majorBidi" w:hAnsiTheme="majorBidi" w:cstheme="majorBidi"/>
          <w:vertAlign w:val="subscript"/>
        </w:rPr>
        <w:t>regs</w:t>
      </w:r>
      <w:r w:rsidR="00400F4B" w:rsidRPr="00D22736">
        <w:rPr>
          <w:rFonts w:asciiTheme="majorBidi" w:hAnsiTheme="majorBidi" w:cstheme="majorBidi"/>
        </w:rPr>
        <w:t xml:space="preserve"> (D) among CD4</w:t>
      </w:r>
      <w:r w:rsidR="00400F4B" w:rsidRPr="00D22736">
        <w:rPr>
          <w:rFonts w:asciiTheme="majorBidi" w:hAnsiTheme="majorBidi" w:cstheme="majorBidi"/>
          <w:vertAlign w:val="superscript"/>
        </w:rPr>
        <w:t>+</w:t>
      </w:r>
      <w:r w:rsidR="00400F4B" w:rsidRPr="00D22736">
        <w:rPr>
          <w:rFonts w:asciiTheme="majorBidi" w:hAnsiTheme="majorBidi" w:cstheme="majorBidi"/>
        </w:rPr>
        <w:t xml:space="preserve"> T cells (n = 3 technical replicates/condition; 2 representative experiments of 5). Data represent boxplots with median, interquartile range, minimum, maximum, and all individual data points of the denoted experimental groups. </w:t>
      </w:r>
      <w:r w:rsidR="00400F4B" w:rsidRPr="00D22736">
        <w:rPr>
          <w:rFonts w:asciiTheme="majorBidi" w:hAnsiTheme="majorBidi" w:cstheme="majorBidi"/>
          <w:i/>
          <w:iCs/>
        </w:rPr>
        <w:t>P</w:t>
      </w:r>
      <w:r w:rsidR="00400F4B" w:rsidRPr="00D22736">
        <w:rPr>
          <w:rFonts w:asciiTheme="majorBidi" w:hAnsiTheme="majorBidi" w:cstheme="majorBidi"/>
        </w:rPr>
        <w:t xml:space="preserve"> values were calculated with independent samples two-tailed Student’s </w:t>
      </w:r>
      <w:r w:rsidR="00400F4B" w:rsidRPr="00D22736">
        <w:rPr>
          <w:rFonts w:asciiTheme="majorBidi" w:hAnsiTheme="majorBidi" w:cstheme="majorBidi"/>
          <w:i/>
          <w:iCs/>
        </w:rPr>
        <w:t>t</w:t>
      </w:r>
      <w:r w:rsidR="00400F4B" w:rsidRPr="00D22736">
        <w:rPr>
          <w:rFonts w:asciiTheme="majorBidi" w:hAnsiTheme="majorBidi" w:cstheme="majorBidi"/>
        </w:rPr>
        <w:t xml:space="preserve">-tests, and non-parametric Mann-Whitney </w:t>
      </w:r>
      <w:r w:rsidR="00400F4B" w:rsidRPr="00D22736">
        <w:rPr>
          <w:rFonts w:asciiTheme="majorBidi" w:hAnsiTheme="majorBidi" w:cstheme="majorBidi"/>
          <w:i/>
          <w:iCs/>
        </w:rPr>
        <w:t>U</w:t>
      </w:r>
      <w:r w:rsidR="00400F4B" w:rsidRPr="00D22736">
        <w:rPr>
          <w:rFonts w:asciiTheme="majorBidi" w:hAnsiTheme="majorBidi" w:cstheme="majorBidi"/>
        </w:rPr>
        <w:t xml:space="preserve">-tests were performed when the assumption of homoscedasticity could not be met. CT, control; GrB, granzyme B; </w:t>
      </w:r>
      <w:r w:rsidR="002B5EF2" w:rsidRPr="00D22736">
        <w:rPr>
          <w:rFonts w:asciiTheme="majorBidi" w:hAnsiTheme="majorBidi" w:cstheme="majorBidi"/>
        </w:rPr>
        <w:t xml:space="preserve">MFI, mean fluorescence intensity; </w:t>
      </w:r>
      <w:r w:rsidR="00400F4B" w:rsidRPr="00D22736">
        <w:rPr>
          <w:rFonts w:asciiTheme="majorBidi" w:hAnsiTheme="majorBidi" w:cstheme="majorBidi"/>
        </w:rPr>
        <w:t>Rapa, rapamycin.</w:t>
      </w:r>
      <w:r w:rsidR="00400F4B" w:rsidRPr="00D22736">
        <w:rPr>
          <w:rFonts w:asciiTheme="majorBidi" w:hAnsiTheme="majorBidi" w:cstheme="majorBidi"/>
        </w:rPr>
        <w:br w:type="page"/>
      </w:r>
    </w:p>
    <w:p w14:paraId="5DFD6B69" w14:textId="6DBB6DC8" w:rsidR="007D7A0E" w:rsidRPr="00D22736" w:rsidRDefault="00E632F9" w:rsidP="007D7A0E">
      <w:pPr>
        <w:jc w:val="center"/>
      </w:pPr>
      <w:r w:rsidRPr="00D2273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734BC9C" wp14:editId="25B746A8">
            <wp:simplePos x="0" y="0"/>
            <wp:positionH relativeFrom="margin">
              <wp:align>center</wp:align>
            </wp:positionH>
            <wp:positionV relativeFrom="paragraph">
              <wp:posOffset>-379017</wp:posOffset>
            </wp:positionV>
            <wp:extent cx="5076000" cy="8096611"/>
            <wp:effectExtent l="0" t="0" r="0" b="0"/>
            <wp:wrapNone/>
            <wp:docPr id="15" name="Picture 1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engineer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809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A0E" w:rsidRPr="00D22736">
        <w:br w:type="page"/>
      </w:r>
    </w:p>
    <w:p w14:paraId="51D7E692" w14:textId="240B3BAF" w:rsidR="007207C4" w:rsidRPr="00D22736" w:rsidRDefault="00E632F9" w:rsidP="007207C4">
      <w:pPr>
        <w:jc w:val="center"/>
      </w:pPr>
      <w:r w:rsidRPr="00D22736">
        <w:rPr>
          <w:noProof/>
        </w:rPr>
        <w:lastRenderedPageBreak/>
        <w:drawing>
          <wp:inline distT="0" distB="0" distL="0" distR="0" wp14:anchorId="0E662EF8" wp14:editId="3AF69959">
            <wp:extent cx="5076000" cy="2614465"/>
            <wp:effectExtent l="0" t="0" r="0" b="0"/>
            <wp:docPr id="16" name="Picture 16" descr="Graphical user interface, 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diagram, engineer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6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A75A" w14:textId="08696884" w:rsidR="00672B8B" w:rsidRPr="00D22736" w:rsidRDefault="00672B8B" w:rsidP="000007CC">
      <w:pPr>
        <w:rPr>
          <w:rFonts w:asciiTheme="majorBidi" w:hAnsiTheme="majorBidi" w:cstheme="majorBidi"/>
        </w:rPr>
      </w:pPr>
      <w:r w:rsidRPr="00D22736">
        <w:rPr>
          <w:b/>
          <w:bCs/>
        </w:rPr>
        <w:t>Figure S</w:t>
      </w:r>
      <w:r w:rsidR="00DF126E" w:rsidRPr="00D22736">
        <w:rPr>
          <w:b/>
          <w:bCs/>
        </w:rPr>
        <w:t>4</w:t>
      </w:r>
      <w:r w:rsidRPr="00D22736">
        <w:t xml:space="preserve"> </w:t>
      </w:r>
      <w:r w:rsidR="00185A73" w:rsidRPr="00D22736">
        <w:rPr>
          <w:i/>
          <w:iCs/>
        </w:rPr>
        <w:t>Rapamycin dose de-escalation increases GrB expression and apoptosis in human T</w:t>
      </w:r>
      <w:r w:rsidR="00185A73" w:rsidRPr="00D22736">
        <w:rPr>
          <w:i/>
          <w:iCs/>
          <w:vertAlign w:val="subscript"/>
        </w:rPr>
        <w:t>regs</w:t>
      </w:r>
      <w:r w:rsidR="00185A73" w:rsidRPr="00D22736">
        <w:rPr>
          <w:i/>
          <w:iCs/>
        </w:rPr>
        <w:t xml:space="preserve"> and affects T</w:t>
      </w:r>
      <w:r w:rsidR="00185A73" w:rsidRPr="00D22736">
        <w:rPr>
          <w:i/>
          <w:iCs/>
          <w:vertAlign w:val="subscript"/>
        </w:rPr>
        <w:t>reg</w:t>
      </w:r>
      <w:r w:rsidR="00185A73" w:rsidRPr="00D22736">
        <w:rPr>
          <w:i/>
          <w:iCs/>
        </w:rPr>
        <w:t xml:space="preserve"> viability discordantly from calcineurin inhibition</w:t>
      </w:r>
      <w:r w:rsidRPr="00D22736">
        <w:rPr>
          <w:i/>
          <w:iCs/>
        </w:rPr>
        <w:t>.</w:t>
      </w:r>
      <w:r w:rsidRPr="00D22736">
        <w:t xml:space="preserve"> </w:t>
      </w:r>
      <w:r w:rsidR="00185A73" w:rsidRPr="00D22736">
        <w:rPr>
          <w:rFonts w:asciiTheme="majorBidi" w:hAnsiTheme="majorBidi" w:cstheme="majorBidi"/>
        </w:rPr>
        <w:t>Human T</w:t>
      </w:r>
      <w:r w:rsidR="00185A73" w:rsidRPr="00D22736">
        <w:rPr>
          <w:rFonts w:asciiTheme="majorBidi" w:hAnsiTheme="majorBidi" w:cstheme="majorBidi"/>
          <w:vertAlign w:val="subscript"/>
        </w:rPr>
        <w:t>regs</w:t>
      </w:r>
      <w:r w:rsidR="00185A73" w:rsidRPr="00D22736">
        <w:rPr>
          <w:rFonts w:asciiTheme="majorBidi" w:hAnsiTheme="majorBidi" w:cstheme="majorBidi"/>
        </w:rPr>
        <w:t xml:space="preserve"> were isolated and expanded for three days with α-CD3, α-CD28, and IL-2, without additional inclusions (CT), with CT stimulants plus 0.1–10 nM rapamycin (Rapa), or with CT stimulants and cyclosporin A (CsA).</w:t>
      </w:r>
      <w:r w:rsidR="00185A73" w:rsidRPr="00D22736">
        <w:t xml:space="preserve"> </w:t>
      </w:r>
      <w:r w:rsidR="004F157F" w:rsidRPr="00D22736">
        <w:rPr>
          <w:rFonts w:asciiTheme="majorBidi" w:hAnsiTheme="majorBidi" w:cstheme="majorBidi"/>
        </w:rPr>
        <w:t>(</w:t>
      </w:r>
      <w:r w:rsidR="004F157F" w:rsidRPr="00D22736">
        <w:rPr>
          <w:rFonts w:asciiTheme="majorBidi" w:hAnsiTheme="majorBidi" w:cstheme="majorBidi"/>
          <w:b/>
          <w:bCs/>
        </w:rPr>
        <w:t xml:space="preserve">A </w:t>
      </w:r>
      <w:r w:rsidR="004F157F" w:rsidRPr="00D22736">
        <w:rPr>
          <w:rFonts w:asciiTheme="majorBidi" w:hAnsiTheme="majorBidi" w:cstheme="majorBidi"/>
        </w:rPr>
        <w:t>to</w:t>
      </w:r>
      <w:r w:rsidR="004F157F" w:rsidRPr="00D22736">
        <w:rPr>
          <w:rFonts w:asciiTheme="majorBidi" w:hAnsiTheme="majorBidi" w:cstheme="majorBidi"/>
          <w:b/>
          <w:bCs/>
        </w:rPr>
        <w:t xml:space="preserve"> D</w:t>
      </w:r>
      <w:r w:rsidR="004F157F" w:rsidRPr="00D22736">
        <w:rPr>
          <w:rFonts w:asciiTheme="majorBidi" w:hAnsiTheme="majorBidi" w:cstheme="majorBidi"/>
        </w:rPr>
        <w:t>) Flow cytometric analyses of CD25</w:t>
      </w:r>
      <w:r w:rsidR="004F157F" w:rsidRPr="00D22736">
        <w:rPr>
          <w:rFonts w:asciiTheme="majorBidi" w:hAnsiTheme="majorBidi" w:cstheme="majorBidi"/>
          <w:vertAlign w:val="superscript"/>
        </w:rPr>
        <w:t>hi</w:t>
      </w:r>
      <w:r w:rsidR="004F157F" w:rsidRPr="00D22736">
        <w:rPr>
          <w:rFonts w:asciiTheme="majorBidi" w:hAnsiTheme="majorBidi" w:cstheme="majorBidi"/>
        </w:rPr>
        <w:t>CD127</w:t>
      </w:r>
      <w:r w:rsidR="004F157F" w:rsidRPr="00D22736">
        <w:rPr>
          <w:rFonts w:asciiTheme="majorBidi" w:hAnsiTheme="majorBidi" w:cstheme="majorBidi"/>
          <w:vertAlign w:val="superscript"/>
        </w:rPr>
        <w:t>lo</w:t>
      </w:r>
      <w:r w:rsidR="004F157F" w:rsidRPr="00D22736">
        <w:rPr>
          <w:rFonts w:asciiTheme="majorBidi" w:hAnsiTheme="majorBidi" w:cstheme="majorBidi"/>
        </w:rPr>
        <w:t xml:space="preserve"> subset among CD4</w:t>
      </w:r>
      <w:r w:rsidR="004F157F" w:rsidRPr="00D22736">
        <w:rPr>
          <w:rFonts w:asciiTheme="majorBidi" w:hAnsiTheme="majorBidi" w:cstheme="majorBidi"/>
          <w:vertAlign w:val="superscript"/>
        </w:rPr>
        <w:t>+</w:t>
      </w:r>
      <w:r w:rsidR="004F157F" w:rsidRPr="00D22736">
        <w:rPr>
          <w:rFonts w:asciiTheme="majorBidi" w:hAnsiTheme="majorBidi" w:cstheme="majorBidi"/>
        </w:rPr>
        <w:t xml:space="preserve"> T cells (A), FoxP3</w:t>
      </w:r>
      <w:r w:rsidR="004F157F" w:rsidRPr="00D22736">
        <w:rPr>
          <w:rFonts w:asciiTheme="majorBidi" w:hAnsiTheme="majorBidi" w:cstheme="majorBidi"/>
          <w:vertAlign w:val="superscript"/>
        </w:rPr>
        <w:t>+</w:t>
      </w:r>
      <w:r w:rsidR="004F157F" w:rsidRPr="00D22736">
        <w:rPr>
          <w:rFonts w:asciiTheme="majorBidi" w:hAnsiTheme="majorBidi" w:cstheme="majorBidi"/>
        </w:rPr>
        <w:t xml:space="preserve"> subset among CD25</w:t>
      </w:r>
      <w:r w:rsidR="004F157F" w:rsidRPr="00D22736">
        <w:rPr>
          <w:rFonts w:asciiTheme="majorBidi" w:hAnsiTheme="majorBidi" w:cstheme="majorBidi"/>
          <w:vertAlign w:val="superscript"/>
        </w:rPr>
        <w:t>hi</w:t>
      </w:r>
      <w:r w:rsidR="004F157F" w:rsidRPr="00D22736">
        <w:rPr>
          <w:rFonts w:asciiTheme="majorBidi" w:hAnsiTheme="majorBidi" w:cstheme="majorBidi"/>
        </w:rPr>
        <w:t>CD127</w:t>
      </w:r>
      <w:r w:rsidR="004F157F" w:rsidRPr="00D22736">
        <w:rPr>
          <w:rFonts w:asciiTheme="majorBidi" w:hAnsiTheme="majorBidi" w:cstheme="majorBidi"/>
          <w:vertAlign w:val="superscript"/>
        </w:rPr>
        <w:t>lo</w:t>
      </w:r>
      <w:r w:rsidR="004F157F" w:rsidRPr="00D22736">
        <w:rPr>
          <w:rFonts w:asciiTheme="majorBidi" w:hAnsiTheme="majorBidi" w:cstheme="majorBidi"/>
        </w:rPr>
        <w:t xml:space="preserve"> cells (B), and GrB</w:t>
      </w:r>
      <w:r w:rsidR="004F157F" w:rsidRPr="00D22736">
        <w:rPr>
          <w:rFonts w:asciiTheme="majorBidi" w:hAnsiTheme="majorBidi" w:cstheme="majorBidi"/>
          <w:vertAlign w:val="superscript"/>
        </w:rPr>
        <w:t>+</w:t>
      </w:r>
      <w:r w:rsidR="004F157F" w:rsidRPr="00D22736">
        <w:rPr>
          <w:rFonts w:asciiTheme="majorBidi" w:hAnsiTheme="majorBidi" w:cstheme="majorBidi"/>
        </w:rPr>
        <w:t xml:space="preserve"> (C) and Annexin V</w:t>
      </w:r>
      <w:r w:rsidR="004F157F" w:rsidRPr="00D22736">
        <w:rPr>
          <w:rFonts w:asciiTheme="majorBidi" w:hAnsiTheme="majorBidi" w:cstheme="majorBidi"/>
          <w:vertAlign w:val="superscript"/>
        </w:rPr>
        <w:t>+</w:t>
      </w:r>
      <w:r w:rsidR="004F157F" w:rsidRPr="00D22736">
        <w:rPr>
          <w:rFonts w:asciiTheme="majorBidi" w:hAnsiTheme="majorBidi" w:cstheme="majorBidi"/>
        </w:rPr>
        <w:t xml:space="preserve"> subsets (D) among FoxP3</w:t>
      </w:r>
      <w:r w:rsidR="004F157F" w:rsidRPr="00D22736">
        <w:rPr>
          <w:rFonts w:asciiTheme="majorBidi" w:hAnsiTheme="majorBidi" w:cstheme="majorBidi"/>
          <w:vertAlign w:val="superscript"/>
        </w:rPr>
        <w:t>+</w:t>
      </w:r>
      <w:r w:rsidR="004F157F" w:rsidRPr="00D22736">
        <w:rPr>
          <w:rFonts w:asciiTheme="majorBidi" w:hAnsiTheme="majorBidi" w:cstheme="majorBidi"/>
        </w:rPr>
        <w:t xml:space="preserve"> T</w:t>
      </w:r>
      <w:r w:rsidR="004F157F" w:rsidRPr="00D22736">
        <w:rPr>
          <w:rFonts w:asciiTheme="majorBidi" w:hAnsiTheme="majorBidi" w:cstheme="majorBidi"/>
          <w:vertAlign w:val="subscript"/>
        </w:rPr>
        <w:t>regs</w:t>
      </w:r>
      <w:r w:rsidR="004F157F" w:rsidRPr="00D22736">
        <w:rPr>
          <w:rFonts w:asciiTheme="majorBidi" w:hAnsiTheme="majorBidi" w:cstheme="majorBidi"/>
        </w:rPr>
        <w:t xml:space="preserve">, including the respective box plots (n = 2 technical replicates/condition; 2 experiments). Data represent boxplots with median, interquartile range, minimum, maximum, and all individual data points of the denoted experimental groups.  </w:t>
      </w:r>
      <w:r w:rsidR="004F157F" w:rsidRPr="00D22736">
        <w:rPr>
          <w:rFonts w:asciiTheme="majorBidi" w:hAnsiTheme="majorBidi" w:cstheme="majorBidi"/>
          <w:i/>
          <w:iCs/>
        </w:rPr>
        <w:t>P</w:t>
      </w:r>
      <w:r w:rsidR="004F157F" w:rsidRPr="00D22736">
        <w:rPr>
          <w:rFonts w:asciiTheme="majorBidi" w:hAnsiTheme="majorBidi" w:cstheme="majorBidi"/>
        </w:rPr>
        <w:t xml:space="preserve"> values were calculated with o</w:t>
      </w:r>
      <w:r w:rsidR="004F157F" w:rsidRPr="00D22736">
        <w:t>ne-way analyses of variance followed by Holm-</w:t>
      </w:r>
      <w:proofErr w:type="spellStart"/>
      <w:r w:rsidR="004F157F" w:rsidRPr="00D22736">
        <w:t>Šídák</w:t>
      </w:r>
      <w:proofErr w:type="spellEnd"/>
      <w:r w:rsidR="004F157F" w:rsidRPr="00D22736">
        <w:t xml:space="preserve"> multiple comparison tests</w:t>
      </w:r>
      <w:r w:rsidR="004F157F" w:rsidRPr="00D22736">
        <w:rPr>
          <w:rFonts w:asciiTheme="majorBidi" w:hAnsiTheme="majorBidi" w:cstheme="majorBidi"/>
        </w:rPr>
        <w:t xml:space="preserve">. CsA, cyclosporin A; CT, control; GrB, granzyme B; </w:t>
      </w:r>
      <w:r w:rsidR="002B5EF2" w:rsidRPr="00D22736">
        <w:rPr>
          <w:rFonts w:asciiTheme="majorBidi" w:hAnsiTheme="majorBidi" w:cstheme="majorBidi"/>
        </w:rPr>
        <w:t xml:space="preserve">MFI, mean fluorescence intensity; </w:t>
      </w:r>
      <w:r w:rsidR="004F157F" w:rsidRPr="00D22736">
        <w:rPr>
          <w:rFonts w:asciiTheme="majorBidi" w:hAnsiTheme="majorBidi" w:cstheme="majorBidi"/>
        </w:rPr>
        <w:t>Rapa, rapamycin.</w:t>
      </w:r>
      <w:r w:rsidRPr="00D22736">
        <w:br w:type="page"/>
      </w:r>
    </w:p>
    <w:p w14:paraId="65E3F9AF" w14:textId="00F2FF82" w:rsidR="00672B8B" w:rsidRPr="00D22736" w:rsidRDefault="00E632F9" w:rsidP="007207C4">
      <w:pPr>
        <w:jc w:val="center"/>
      </w:pPr>
      <w:r w:rsidRPr="00D22736">
        <w:rPr>
          <w:noProof/>
        </w:rPr>
        <w:lastRenderedPageBreak/>
        <w:drawing>
          <wp:inline distT="0" distB="0" distL="0" distR="0" wp14:anchorId="0540C2A5" wp14:editId="2AE0F80B">
            <wp:extent cx="4860000" cy="2895750"/>
            <wp:effectExtent l="0" t="0" r="0" b="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8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D676" w14:textId="2210FBC4" w:rsidR="00672B8B" w:rsidRPr="00D22736" w:rsidRDefault="00672B8B" w:rsidP="000007CC">
      <w:r w:rsidRPr="00D22736">
        <w:rPr>
          <w:b/>
          <w:bCs/>
        </w:rPr>
        <w:t>Figure S</w:t>
      </w:r>
      <w:r w:rsidR="00DF126E" w:rsidRPr="00D22736">
        <w:rPr>
          <w:b/>
          <w:bCs/>
        </w:rPr>
        <w:t>5</w:t>
      </w:r>
      <w:r w:rsidRPr="00D22736">
        <w:t xml:space="preserve"> </w:t>
      </w:r>
      <w:r w:rsidR="00136013" w:rsidRPr="00D22736">
        <w:rPr>
          <w:i/>
          <w:iCs/>
        </w:rPr>
        <w:t xml:space="preserve">GranToxiLux </w:t>
      </w:r>
      <w:r w:rsidR="0072645E" w:rsidRPr="00D22736">
        <w:rPr>
          <w:i/>
          <w:iCs/>
        </w:rPr>
        <w:t>experiments</w:t>
      </w:r>
      <w:r w:rsidR="00644860" w:rsidRPr="00D22736">
        <w:rPr>
          <w:i/>
          <w:iCs/>
        </w:rPr>
        <w:t xml:space="preserve"> phenotyping strategy and </w:t>
      </w:r>
      <w:r w:rsidR="00136013" w:rsidRPr="00D22736">
        <w:rPr>
          <w:i/>
          <w:iCs/>
        </w:rPr>
        <w:t>T</w:t>
      </w:r>
      <w:r w:rsidR="00136013" w:rsidRPr="00D22736">
        <w:rPr>
          <w:i/>
          <w:iCs/>
          <w:vertAlign w:val="subscript"/>
        </w:rPr>
        <w:t>reg</w:t>
      </w:r>
      <w:r w:rsidR="00136013" w:rsidRPr="00D22736">
        <w:rPr>
          <w:i/>
          <w:iCs/>
        </w:rPr>
        <w:t xml:space="preserve"> stimulation leads to intracytoplasmically active GrB</w:t>
      </w:r>
      <w:r w:rsidRPr="00D22736">
        <w:rPr>
          <w:i/>
          <w:iCs/>
        </w:rPr>
        <w:t>.</w:t>
      </w:r>
      <w:r w:rsidRPr="00D22736">
        <w:t xml:space="preserve"> </w:t>
      </w:r>
      <w:r w:rsidR="00136013" w:rsidRPr="00D22736">
        <w:t>(</w:t>
      </w:r>
      <w:r w:rsidR="00136013" w:rsidRPr="00D22736">
        <w:rPr>
          <w:b/>
          <w:bCs/>
        </w:rPr>
        <w:t>A</w:t>
      </w:r>
      <w:r w:rsidR="00136013" w:rsidRPr="00D22736">
        <w:t>) Gating strategy identifying an active FSC</w:t>
      </w:r>
      <w:r w:rsidR="00136013" w:rsidRPr="00D22736">
        <w:rPr>
          <w:vertAlign w:val="superscript"/>
        </w:rPr>
        <w:t>hi</w:t>
      </w:r>
      <w:r w:rsidR="00136013" w:rsidRPr="00D22736">
        <w:t>SSC</w:t>
      </w:r>
      <w:r w:rsidR="00136013" w:rsidRPr="00D22736">
        <w:rPr>
          <w:vertAlign w:val="superscript"/>
        </w:rPr>
        <w:t>hi</w:t>
      </w:r>
      <w:r w:rsidR="00136013" w:rsidRPr="00D22736">
        <w:t xml:space="preserve"> subset of magnetically</w:t>
      </w:r>
      <w:r w:rsidR="005A5602" w:rsidRPr="00D22736">
        <w:t xml:space="preserve"> </w:t>
      </w:r>
      <w:r w:rsidR="00136013" w:rsidRPr="00D22736">
        <w:t>sorted CD4</w:t>
      </w:r>
      <w:r w:rsidR="00136013" w:rsidRPr="00D22736">
        <w:rPr>
          <w:vertAlign w:val="superscript"/>
        </w:rPr>
        <w:t>+</w:t>
      </w:r>
      <w:r w:rsidR="00136013" w:rsidRPr="00D22736">
        <w:t xml:space="preserve"> CD25</w:t>
      </w:r>
      <w:r w:rsidR="00136013" w:rsidRPr="00D22736">
        <w:rPr>
          <w:vertAlign w:val="superscript"/>
        </w:rPr>
        <w:t>hi</w:t>
      </w:r>
      <w:r w:rsidR="00136013" w:rsidRPr="00D22736">
        <w:t>CD127</w:t>
      </w:r>
      <w:r w:rsidR="00136013" w:rsidRPr="00D22736">
        <w:rPr>
          <w:vertAlign w:val="superscript"/>
        </w:rPr>
        <w:t>lo</w:t>
      </w:r>
      <w:r w:rsidR="00136013" w:rsidRPr="00D22736">
        <w:t xml:space="preserve"> human </w:t>
      </w:r>
      <w:r w:rsidR="00136013" w:rsidRPr="00D22736">
        <w:rPr>
          <w:rFonts w:asciiTheme="majorBidi" w:hAnsiTheme="majorBidi" w:cstheme="majorBidi"/>
        </w:rPr>
        <w:t>T</w:t>
      </w:r>
      <w:r w:rsidR="00136013" w:rsidRPr="00D22736">
        <w:rPr>
          <w:rFonts w:asciiTheme="majorBidi" w:hAnsiTheme="majorBidi" w:cstheme="majorBidi"/>
          <w:vertAlign w:val="subscript"/>
        </w:rPr>
        <w:t>regs</w:t>
      </w:r>
      <w:r w:rsidR="00136013" w:rsidRPr="00D22736">
        <w:rPr>
          <w:rFonts w:asciiTheme="majorBidi" w:hAnsiTheme="majorBidi" w:cstheme="majorBidi"/>
        </w:rPr>
        <w:t xml:space="preserve"> that were expanded for three days with α-CD3, α-CD28, and IL-2</w:t>
      </w:r>
      <w:r w:rsidRPr="00D22736">
        <w:t>.</w:t>
      </w:r>
      <w:r w:rsidR="00136013" w:rsidRPr="00D22736">
        <w:t xml:space="preserve"> (</w:t>
      </w:r>
      <w:r w:rsidR="00041F19" w:rsidRPr="00D22736">
        <w:rPr>
          <w:b/>
          <w:bCs/>
        </w:rPr>
        <w:t>B</w:t>
      </w:r>
      <w:r w:rsidR="00041F19" w:rsidRPr="00D22736">
        <w:t xml:space="preserve"> to </w:t>
      </w:r>
      <w:r w:rsidR="00041F19" w:rsidRPr="00D22736">
        <w:rPr>
          <w:b/>
          <w:bCs/>
        </w:rPr>
        <w:t>D</w:t>
      </w:r>
      <w:r w:rsidR="00041F19" w:rsidRPr="00D22736">
        <w:t xml:space="preserve">) Flow cytometric analysis </w:t>
      </w:r>
      <w:r w:rsidR="00176416" w:rsidRPr="00D22736">
        <w:t xml:space="preserve">and box plots </w:t>
      </w:r>
      <w:r w:rsidR="00041F19" w:rsidRPr="00D22736">
        <w:t>of GranToxiLux</w:t>
      </w:r>
      <w:r w:rsidR="00041F19" w:rsidRPr="00D22736">
        <w:rPr>
          <w:vertAlign w:val="superscript"/>
        </w:rPr>
        <w:t>+</w:t>
      </w:r>
      <w:r w:rsidR="00041F19" w:rsidRPr="00D22736">
        <w:t xml:space="preserve"> T</w:t>
      </w:r>
      <w:r w:rsidR="00041F19" w:rsidRPr="00D22736">
        <w:rPr>
          <w:vertAlign w:val="subscript"/>
        </w:rPr>
        <w:t>reg</w:t>
      </w:r>
      <w:r w:rsidR="00041F19" w:rsidRPr="00D22736">
        <w:t xml:space="preserve"> percentages (</w:t>
      </w:r>
      <w:r w:rsidR="00176416" w:rsidRPr="00D22736">
        <w:t xml:space="preserve">B and </w:t>
      </w:r>
      <w:r w:rsidR="00041F19" w:rsidRPr="00D22736">
        <w:t>C), and GranToxiLux mean fluorescence intensities (E; n = 3 technical replicates/condition; 2 representative experiments of 4).</w:t>
      </w:r>
      <w:r w:rsidR="0072645E" w:rsidRPr="00D22736">
        <w:t xml:space="preserve"> </w:t>
      </w:r>
      <w:r w:rsidR="0072645E" w:rsidRPr="00D22736">
        <w:rPr>
          <w:rFonts w:asciiTheme="majorBidi" w:hAnsiTheme="majorBidi" w:cstheme="majorBidi"/>
        </w:rPr>
        <w:t xml:space="preserve">Data represent boxplots with median, interquartile range, minimum, maximum, and all individual data points of the denoted experimental groups. </w:t>
      </w:r>
      <w:r w:rsidR="0072645E" w:rsidRPr="00D22736">
        <w:rPr>
          <w:rFonts w:asciiTheme="majorBidi" w:hAnsiTheme="majorBidi" w:cstheme="majorBidi"/>
          <w:i/>
          <w:iCs/>
        </w:rPr>
        <w:t>P</w:t>
      </w:r>
      <w:r w:rsidR="0072645E" w:rsidRPr="00D22736">
        <w:rPr>
          <w:rFonts w:asciiTheme="majorBidi" w:hAnsiTheme="majorBidi" w:cstheme="majorBidi"/>
        </w:rPr>
        <w:t xml:space="preserve"> values were calculated with independent samples two-tailed Student’s </w:t>
      </w:r>
      <w:r w:rsidR="0072645E" w:rsidRPr="00D22736">
        <w:rPr>
          <w:rFonts w:asciiTheme="majorBidi" w:hAnsiTheme="majorBidi" w:cstheme="majorBidi"/>
          <w:i/>
          <w:iCs/>
        </w:rPr>
        <w:t>t</w:t>
      </w:r>
      <w:r w:rsidR="0072645E" w:rsidRPr="00D22736">
        <w:rPr>
          <w:rFonts w:asciiTheme="majorBidi" w:hAnsiTheme="majorBidi" w:cstheme="majorBidi"/>
        </w:rPr>
        <w:t xml:space="preserve">-tests, and non-parametric Mann-Whitney </w:t>
      </w:r>
      <w:r w:rsidR="0072645E" w:rsidRPr="00D22736">
        <w:rPr>
          <w:rFonts w:asciiTheme="majorBidi" w:hAnsiTheme="majorBidi" w:cstheme="majorBidi"/>
          <w:i/>
          <w:iCs/>
        </w:rPr>
        <w:t>U</w:t>
      </w:r>
      <w:r w:rsidR="0072645E" w:rsidRPr="00D22736">
        <w:rPr>
          <w:rFonts w:asciiTheme="majorBidi" w:hAnsiTheme="majorBidi" w:cstheme="majorBidi"/>
        </w:rPr>
        <w:t>-tests were performed when the assumption of homoscedasticity could not be met. GrB, granzyme B</w:t>
      </w:r>
      <w:r w:rsidR="003D4794" w:rsidRPr="00D22736">
        <w:rPr>
          <w:rFonts w:asciiTheme="majorBidi" w:hAnsiTheme="majorBidi" w:cstheme="majorBidi"/>
        </w:rPr>
        <w:t>; MFI, mean fluorescence intensity</w:t>
      </w:r>
      <w:r w:rsidR="0072645E" w:rsidRPr="00D22736">
        <w:rPr>
          <w:rFonts w:asciiTheme="majorBidi" w:hAnsiTheme="majorBidi" w:cstheme="majorBidi"/>
        </w:rPr>
        <w:t>.</w:t>
      </w:r>
      <w:r w:rsidRPr="00D22736">
        <w:br w:type="page"/>
      </w:r>
    </w:p>
    <w:p w14:paraId="6085DC08" w14:textId="6A875D13" w:rsidR="00672B8B" w:rsidRPr="00D22736" w:rsidRDefault="00E632F9" w:rsidP="00DF126E">
      <w:pPr>
        <w:jc w:val="center"/>
      </w:pPr>
      <w:r w:rsidRPr="00D22736">
        <w:rPr>
          <w:noProof/>
        </w:rPr>
        <w:lastRenderedPageBreak/>
        <w:drawing>
          <wp:inline distT="0" distB="0" distL="0" distR="0" wp14:anchorId="660A815C" wp14:editId="1709A5E4">
            <wp:extent cx="5943600" cy="111379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36E8" w14:textId="0CE1CA1D" w:rsidR="00672B8B" w:rsidRPr="00D22736" w:rsidRDefault="00672B8B" w:rsidP="000007CC">
      <w:r w:rsidRPr="00D22736">
        <w:rPr>
          <w:b/>
          <w:bCs/>
        </w:rPr>
        <w:t>Figure S</w:t>
      </w:r>
      <w:r w:rsidR="00DF126E" w:rsidRPr="00D22736">
        <w:rPr>
          <w:b/>
          <w:bCs/>
        </w:rPr>
        <w:t>6</w:t>
      </w:r>
      <w:r w:rsidRPr="00D22736">
        <w:t xml:space="preserve"> </w:t>
      </w:r>
      <w:r w:rsidR="0072645E" w:rsidRPr="00D22736">
        <w:rPr>
          <w:i/>
          <w:iCs/>
        </w:rPr>
        <w:t>Phosphorylation experiments</w:t>
      </w:r>
      <w:r w:rsidR="0072645E" w:rsidRPr="00D22736">
        <w:t xml:space="preserve"> </w:t>
      </w:r>
      <w:r w:rsidR="0072645E" w:rsidRPr="00D22736">
        <w:rPr>
          <w:i/>
          <w:iCs/>
        </w:rPr>
        <w:t>phenotyping strategy</w:t>
      </w:r>
      <w:r w:rsidRPr="00D22736">
        <w:rPr>
          <w:i/>
          <w:iCs/>
        </w:rPr>
        <w:t>.</w:t>
      </w:r>
      <w:r w:rsidRPr="00D22736">
        <w:t xml:space="preserve"> </w:t>
      </w:r>
      <w:r w:rsidR="0072645E" w:rsidRPr="00D22736">
        <w:t>Gating strategy identifying magnetically</w:t>
      </w:r>
      <w:r w:rsidR="005A5602" w:rsidRPr="00D22736">
        <w:t xml:space="preserve"> </w:t>
      </w:r>
      <w:r w:rsidR="0072645E" w:rsidRPr="00D22736">
        <w:t>sorted CD4</w:t>
      </w:r>
      <w:r w:rsidR="0072645E" w:rsidRPr="00D22736">
        <w:rPr>
          <w:vertAlign w:val="superscript"/>
        </w:rPr>
        <w:t>+</w:t>
      </w:r>
      <w:r w:rsidR="0072645E" w:rsidRPr="00D22736">
        <w:t xml:space="preserve"> CD25</w:t>
      </w:r>
      <w:r w:rsidR="0072645E" w:rsidRPr="00D22736">
        <w:rPr>
          <w:vertAlign w:val="superscript"/>
        </w:rPr>
        <w:t>hi</w:t>
      </w:r>
      <w:r w:rsidR="0072645E" w:rsidRPr="00D22736">
        <w:t>CD127</w:t>
      </w:r>
      <w:r w:rsidR="0072645E" w:rsidRPr="00D22736">
        <w:rPr>
          <w:vertAlign w:val="superscript"/>
        </w:rPr>
        <w:t>lo</w:t>
      </w:r>
      <w:r w:rsidR="0072645E" w:rsidRPr="00D22736">
        <w:t xml:space="preserve"> human </w:t>
      </w:r>
      <w:r w:rsidR="0072645E" w:rsidRPr="00D22736">
        <w:rPr>
          <w:rFonts w:asciiTheme="majorBidi" w:hAnsiTheme="majorBidi" w:cstheme="majorBidi"/>
        </w:rPr>
        <w:t>T</w:t>
      </w:r>
      <w:r w:rsidR="0072645E" w:rsidRPr="00D22736">
        <w:rPr>
          <w:rFonts w:asciiTheme="majorBidi" w:hAnsiTheme="majorBidi" w:cstheme="majorBidi"/>
          <w:vertAlign w:val="subscript"/>
        </w:rPr>
        <w:t>regs</w:t>
      </w:r>
      <w:r w:rsidR="0072645E" w:rsidRPr="00D22736">
        <w:rPr>
          <w:rFonts w:asciiTheme="majorBidi" w:hAnsiTheme="majorBidi" w:cstheme="majorBidi"/>
        </w:rPr>
        <w:t xml:space="preserve"> that were expanded in a 24-hour cell culture window with α-CD3, α-CD28, and IL-2</w:t>
      </w:r>
      <w:r w:rsidRPr="00D22736">
        <w:t>.</w:t>
      </w:r>
      <w:r w:rsidRPr="00D22736">
        <w:br w:type="page"/>
      </w:r>
    </w:p>
    <w:p w14:paraId="49A7D9FC" w14:textId="1D5039C2" w:rsidR="00672B8B" w:rsidRPr="00D22736" w:rsidRDefault="00E632F9" w:rsidP="004E7CEA">
      <w:pPr>
        <w:jc w:val="center"/>
      </w:pPr>
      <w:r w:rsidRPr="00D22736">
        <w:rPr>
          <w:noProof/>
        </w:rPr>
        <w:lastRenderedPageBreak/>
        <w:drawing>
          <wp:inline distT="0" distB="0" distL="0" distR="0" wp14:anchorId="29C4781B" wp14:editId="7748B523">
            <wp:extent cx="5560738" cy="6993698"/>
            <wp:effectExtent l="0" t="0" r="1905" b="0"/>
            <wp:docPr id="19" name="Picture 1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700" cy="7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C4F6" w14:textId="7E60AC96" w:rsidR="00672B8B" w:rsidRPr="00D22736" w:rsidRDefault="00672B8B" w:rsidP="000007CC">
      <w:pPr>
        <w:rPr>
          <w:rFonts w:asciiTheme="majorBidi" w:hAnsiTheme="majorBidi" w:cstheme="majorBidi"/>
        </w:rPr>
      </w:pPr>
      <w:r w:rsidRPr="00D22736">
        <w:rPr>
          <w:b/>
          <w:bCs/>
        </w:rPr>
        <w:t>Figure S</w:t>
      </w:r>
      <w:r w:rsidR="00DF126E" w:rsidRPr="00D22736">
        <w:rPr>
          <w:b/>
          <w:bCs/>
        </w:rPr>
        <w:t>7</w:t>
      </w:r>
      <w:r w:rsidR="004707E7" w:rsidRPr="00D22736">
        <w:t xml:space="preserve"> </w:t>
      </w:r>
      <w:r w:rsidR="00181FCC" w:rsidRPr="00D22736">
        <w:rPr>
          <w:i/>
          <w:iCs/>
        </w:rPr>
        <w:t>In vivo m</w:t>
      </w:r>
      <w:r w:rsidR="0027340F" w:rsidRPr="00D22736">
        <w:rPr>
          <w:rFonts w:asciiTheme="majorBidi" w:hAnsiTheme="majorBidi" w:cstheme="majorBidi"/>
          <w:i/>
          <w:iCs/>
        </w:rPr>
        <w:t xml:space="preserve">TORC1 inhibition reduces </w:t>
      </w:r>
      <w:r w:rsidR="00181FCC" w:rsidRPr="00D22736">
        <w:rPr>
          <w:rFonts w:asciiTheme="majorBidi" w:hAnsiTheme="majorBidi" w:cstheme="majorBidi"/>
          <w:i/>
          <w:iCs/>
        </w:rPr>
        <w:t>human T</w:t>
      </w:r>
      <w:r w:rsidR="00181FCC" w:rsidRPr="00D22736">
        <w:rPr>
          <w:rFonts w:asciiTheme="majorBidi" w:hAnsiTheme="majorBidi" w:cstheme="majorBidi"/>
          <w:i/>
          <w:iCs/>
          <w:vertAlign w:val="subscript"/>
        </w:rPr>
        <w:t>reg</w:t>
      </w:r>
      <w:r w:rsidR="00181FCC" w:rsidRPr="00D22736">
        <w:rPr>
          <w:rFonts w:asciiTheme="majorBidi" w:hAnsiTheme="majorBidi" w:cstheme="majorBidi"/>
          <w:i/>
          <w:iCs/>
        </w:rPr>
        <w:t xml:space="preserve"> </w:t>
      </w:r>
      <w:r w:rsidR="0027340F" w:rsidRPr="00D22736">
        <w:rPr>
          <w:rFonts w:asciiTheme="majorBidi" w:hAnsiTheme="majorBidi" w:cstheme="majorBidi"/>
          <w:i/>
          <w:iCs/>
        </w:rPr>
        <w:t xml:space="preserve">GrB expression </w:t>
      </w:r>
      <w:r w:rsidR="00181FCC" w:rsidRPr="00D22736">
        <w:rPr>
          <w:rFonts w:asciiTheme="majorBidi" w:hAnsiTheme="majorBidi" w:cstheme="majorBidi"/>
          <w:i/>
          <w:iCs/>
        </w:rPr>
        <w:t xml:space="preserve">apoptosis of </w:t>
      </w:r>
      <w:r w:rsidR="0027340F" w:rsidRPr="00D22736">
        <w:rPr>
          <w:rFonts w:asciiTheme="majorBidi" w:hAnsiTheme="majorBidi" w:cstheme="majorBidi"/>
          <w:i/>
          <w:iCs/>
        </w:rPr>
        <w:t>peripheral T</w:t>
      </w:r>
      <w:r w:rsidR="0027340F" w:rsidRPr="00D22736">
        <w:rPr>
          <w:rFonts w:asciiTheme="majorBidi" w:hAnsiTheme="majorBidi" w:cstheme="majorBidi"/>
          <w:i/>
          <w:iCs/>
          <w:vertAlign w:val="subscript"/>
        </w:rPr>
        <w:t>regs</w:t>
      </w:r>
      <w:r w:rsidR="0027340F" w:rsidRPr="00D22736">
        <w:rPr>
          <w:rFonts w:asciiTheme="majorBidi" w:hAnsiTheme="majorBidi" w:cstheme="majorBidi"/>
          <w:i/>
          <w:iCs/>
        </w:rPr>
        <w:t xml:space="preserve"> in </w:t>
      </w:r>
      <w:r w:rsidR="00181FCC" w:rsidRPr="00D22736">
        <w:rPr>
          <w:rFonts w:asciiTheme="majorBidi" w:hAnsiTheme="majorBidi" w:cstheme="majorBidi"/>
          <w:i/>
          <w:iCs/>
        </w:rPr>
        <w:t xml:space="preserve">an in </w:t>
      </w:r>
      <w:r w:rsidR="0027340F" w:rsidRPr="00D22736">
        <w:rPr>
          <w:rFonts w:asciiTheme="majorBidi" w:hAnsiTheme="majorBidi" w:cstheme="majorBidi"/>
          <w:i/>
          <w:iCs/>
        </w:rPr>
        <w:t>vivo allotransplantation model.</w:t>
      </w:r>
      <w:r w:rsidR="0027340F" w:rsidRPr="00D22736">
        <w:rPr>
          <w:rFonts w:asciiTheme="majorBidi" w:hAnsiTheme="majorBidi" w:cstheme="majorBidi"/>
        </w:rPr>
        <w:t xml:space="preserve"> </w:t>
      </w:r>
      <w:r w:rsidR="00181FCC" w:rsidRPr="00D22736">
        <w:rPr>
          <w:rFonts w:asciiTheme="majorBidi" w:hAnsiTheme="majorBidi" w:cstheme="majorBidi"/>
        </w:rPr>
        <w:t>(</w:t>
      </w:r>
      <w:r w:rsidR="00181FCC" w:rsidRPr="00D22736">
        <w:rPr>
          <w:rFonts w:asciiTheme="majorBidi" w:hAnsiTheme="majorBidi" w:cstheme="majorBidi"/>
          <w:b/>
          <w:bCs/>
        </w:rPr>
        <w:t>A</w:t>
      </w:r>
      <w:r w:rsidR="00181FCC" w:rsidRPr="00D22736">
        <w:rPr>
          <w:rFonts w:asciiTheme="majorBidi" w:hAnsiTheme="majorBidi" w:cstheme="majorBidi"/>
        </w:rPr>
        <w:t xml:space="preserve"> </w:t>
      </w:r>
      <w:r w:rsidR="007D7A0E" w:rsidRPr="00D22736">
        <w:rPr>
          <w:rFonts w:asciiTheme="majorBidi" w:hAnsiTheme="majorBidi" w:cstheme="majorBidi"/>
        </w:rPr>
        <w:t>and</w:t>
      </w:r>
      <w:r w:rsidR="00181FCC" w:rsidRPr="00D22736">
        <w:rPr>
          <w:rFonts w:asciiTheme="majorBidi" w:hAnsiTheme="majorBidi" w:cstheme="majorBidi"/>
        </w:rPr>
        <w:t xml:space="preserve"> </w:t>
      </w:r>
      <w:r w:rsidR="00181FCC" w:rsidRPr="00D22736">
        <w:rPr>
          <w:rFonts w:asciiTheme="majorBidi" w:hAnsiTheme="majorBidi" w:cstheme="majorBidi"/>
          <w:b/>
          <w:bCs/>
        </w:rPr>
        <w:t>B</w:t>
      </w:r>
      <w:r w:rsidR="00181FCC" w:rsidRPr="00D22736">
        <w:rPr>
          <w:rFonts w:asciiTheme="majorBidi" w:hAnsiTheme="majorBidi" w:cstheme="majorBidi"/>
        </w:rPr>
        <w:t xml:space="preserve">) </w:t>
      </w:r>
      <w:r w:rsidR="0027340F" w:rsidRPr="00D22736">
        <w:rPr>
          <w:rFonts w:asciiTheme="majorBidi" w:hAnsiTheme="majorBidi" w:cstheme="majorBidi"/>
        </w:rPr>
        <w:t>NOD-</w:t>
      </w:r>
      <w:proofErr w:type="spellStart"/>
      <w:r w:rsidR="0027340F" w:rsidRPr="00D22736">
        <w:rPr>
          <w:rFonts w:asciiTheme="majorBidi" w:hAnsiTheme="majorBidi" w:cstheme="majorBidi"/>
          <w:i/>
          <w:iCs/>
        </w:rPr>
        <w:t>scid</w:t>
      </w:r>
      <w:proofErr w:type="spellEnd"/>
      <w:r w:rsidR="0027340F" w:rsidRPr="00D22736">
        <w:rPr>
          <w:rFonts w:asciiTheme="majorBidi" w:hAnsiTheme="majorBidi" w:cstheme="majorBidi"/>
        </w:rPr>
        <w:t xml:space="preserve"> IL-2 receptor-</w:t>
      </w:r>
      <w:proofErr w:type="spellStart"/>
      <w:r w:rsidR="0027340F" w:rsidRPr="00D22736">
        <w:rPr>
          <w:rFonts w:asciiTheme="majorBidi" w:hAnsiTheme="majorBidi" w:cstheme="majorBidi"/>
        </w:rPr>
        <w:t>γ</w:t>
      </w:r>
      <w:r w:rsidR="0027340F" w:rsidRPr="00D22736">
        <w:rPr>
          <w:rFonts w:asciiTheme="majorBidi" w:hAnsiTheme="majorBidi" w:cstheme="majorBidi"/>
          <w:vertAlign w:val="superscript"/>
        </w:rPr>
        <w:t>null</w:t>
      </w:r>
      <w:proofErr w:type="spellEnd"/>
      <w:r w:rsidR="0027340F" w:rsidRPr="00D22736">
        <w:rPr>
          <w:rFonts w:asciiTheme="majorBidi" w:hAnsiTheme="majorBidi" w:cstheme="majorBidi"/>
        </w:rPr>
        <w:t xml:space="preserve"> (NSG) mice were transplanted with </w:t>
      </w:r>
      <w:r w:rsidR="00181FCC" w:rsidRPr="00D22736">
        <w:rPr>
          <w:rFonts w:asciiTheme="majorBidi" w:hAnsiTheme="majorBidi" w:cstheme="majorBidi"/>
        </w:rPr>
        <w:t xml:space="preserve">healthy donor </w:t>
      </w:r>
      <w:r w:rsidR="0027340F" w:rsidRPr="00D22736">
        <w:rPr>
          <w:rFonts w:asciiTheme="majorBidi" w:hAnsiTheme="majorBidi" w:cstheme="majorBidi"/>
        </w:rPr>
        <w:t>skin seven days prior to the adoptive transfer of 5.0×10</w:t>
      </w:r>
      <w:r w:rsidR="0027340F" w:rsidRPr="00D22736">
        <w:rPr>
          <w:rFonts w:asciiTheme="majorBidi" w:hAnsiTheme="majorBidi" w:cstheme="majorBidi"/>
          <w:vertAlign w:val="superscript"/>
        </w:rPr>
        <w:t>6</w:t>
      </w:r>
      <w:r w:rsidR="0027340F" w:rsidRPr="00D22736">
        <w:rPr>
          <w:rFonts w:asciiTheme="majorBidi" w:hAnsiTheme="majorBidi" w:cstheme="majorBidi"/>
        </w:rPr>
        <w:t xml:space="preserve"> human PBMCs and 1.0×10</w:t>
      </w:r>
      <w:r w:rsidR="0027340F" w:rsidRPr="00D22736">
        <w:rPr>
          <w:rFonts w:asciiTheme="majorBidi" w:hAnsiTheme="majorBidi" w:cstheme="majorBidi"/>
          <w:vertAlign w:val="superscript"/>
        </w:rPr>
        <w:t>6</w:t>
      </w:r>
      <w:r w:rsidR="0027340F" w:rsidRPr="00D22736">
        <w:rPr>
          <w:rFonts w:asciiTheme="majorBidi" w:hAnsiTheme="majorBidi" w:cstheme="majorBidi"/>
        </w:rPr>
        <w:t xml:space="preserve"> human CD4</w:t>
      </w:r>
      <w:r w:rsidR="0027340F" w:rsidRPr="00D22736">
        <w:rPr>
          <w:rFonts w:asciiTheme="majorBidi" w:hAnsiTheme="majorBidi" w:cstheme="majorBidi"/>
          <w:vertAlign w:val="superscript"/>
        </w:rPr>
        <w:t>+</w:t>
      </w:r>
      <w:r w:rsidR="0027340F" w:rsidRPr="00D22736">
        <w:rPr>
          <w:rFonts w:asciiTheme="majorBidi" w:hAnsiTheme="majorBidi" w:cstheme="majorBidi"/>
        </w:rPr>
        <w:t>CD25</w:t>
      </w:r>
      <w:r w:rsidR="00181FCC" w:rsidRPr="00D22736">
        <w:rPr>
          <w:rFonts w:asciiTheme="majorBidi" w:hAnsiTheme="majorBidi" w:cstheme="majorBidi"/>
          <w:vertAlign w:val="superscript"/>
        </w:rPr>
        <w:t>hi</w:t>
      </w:r>
      <w:r w:rsidR="0027340F" w:rsidRPr="00D22736">
        <w:rPr>
          <w:rFonts w:asciiTheme="majorBidi" w:hAnsiTheme="majorBidi" w:cstheme="majorBidi"/>
        </w:rPr>
        <w:t>CD127</w:t>
      </w:r>
      <w:r w:rsidR="0027340F" w:rsidRPr="00D22736">
        <w:rPr>
          <w:rFonts w:asciiTheme="majorBidi" w:hAnsiTheme="majorBidi" w:cstheme="majorBidi"/>
          <w:vertAlign w:val="superscript"/>
        </w:rPr>
        <w:t>l</w:t>
      </w:r>
      <w:r w:rsidR="00181FCC" w:rsidRPr="00D22736">
        <w:rPr>
          <w:rFonts w:asciiTheme="majorBidi" w:hAnsiTheme="majorBidi" w:cstheme="majorBidi"/>
          <w:vertAlign w:val="superscript"/>
        </w:rPr>
        <w:t>o</w:t>
      </w:r>
      <w:r w:rsidR="0027340F" w:rsidRPr="00D22736">
        <w:rPr>
          <w:rFonts w:asciiTheme="majorBidi" w:hAnsiTheme="majorBidi" w:cstheme="majorBidi"/>
        </w:rPr>
        <w:t xml:space="preserve"> T</w:t>
      </w:r>
      <w:r w:rsidR="0027340F" w:rsidRPr="00D22736">
        <w:rPr>
          <w:rFonts w:asciiTheme="majorBidi" w:hAnsiTheme="majorBidi" w:cstheme="majorBidi"/>
          <w:vertAlign w:val="subscript"/>
        </w:rPr>
        <w:t>regs</w:t>
      </w:r>
      <w:r w:rsidR="00181FCC" w:rsidRPr="00D22736">
        <w:rPr>
          <w:rFonts w:asciiTheme="majorBidi" w:hAnsiTheme="majorBidi" w:cstheme="majorBidi"/>
        </w:rPr>
        <w:t xml:space="preserve"> (A).</w:t>
      </w:r>
      <w:r w:rsidR="0027340F" w:rsidRPr="00D22736">
        <w:rPr>
          <w:rFonts w:asciiTheme="majorBidi" w:hAnsiTheme="majorBidi" w:cstheme="majorBidi"/>
        </w:rPr>
        <w:t xml:space="preserve"> Afterwards, the NSG mice </w:t>
      </w:r>
      <w:r w:rsidR="00181FCC" w:rsidRPr="00D22736">
        <w:rPr>
          <w:rFonts w:asciiTheme="majorBidi" w:hAnsiTheme="majorBidi" w:cstheme="majorBidi"/>
        </w:rPr>
        <w:lastRenderedPageBreak/>
        <w:t xml:space="preserve">received daily </w:t>
      </w:r>
      <w:r w:rsidR="0027340F" w:rsidRPr="00D22736">
        <w:rPr>
          <w:rFonts w:asciiTheme="majorBidi" w:hAnsiTheme="majorBidi" w:cstheme="majorBidi"/>
        </w:rPr>
        <w:t>intraperitoneal</w:t>
      </w:r>
      <w:r w:rsidR="00181FCC" w:rsidRPr="00D22736">
        <w:rPr>
          <w:rFonts w:asciiTheme="majorBidi" w:hAnsiTheme="majorBidi" w:cstheme="majorBidi"/>
        </w:rPr>
        <w:t xml:space="preserve"> injections of </w:t>
      </w:r>
      <w:r w:rsidR="0027340F" w:rsidRPr="00D22736">
        <w:rPr>
          <w:rFonts w:asciiTheme="majorBidi" w:hAnsiTheme="majorBidi" w:cstheme="majorBidi"/>
        </w:rPr>
        <w:t>1× DPBS</w:t>
      </w:r>
      <w:r w:rsidR="00181FCC" w:rsidRPr="00D22736">
        <w:rPr>
          <w:rFonts w:asciiTheme="majorBidi" w:hAnsiTheme="majorBidi" w:cstheme="majorBidi"/>
        </w:rPr>
        <w:t xml:space="preserve"> (PBS) or </w:t>
      </w:r>
      <w:r w:rsidR="0027340F" w:rsidRPr="00D22736">
        <w:rPr>
          <w:rFonts w:asciiTheme="majorBidi" w:hAnsiTheme="majorBidi" w:cstheme="majorBidi"/>
        </w:rPr>
        <w:t>1 mg/kg rapamycin (Rapa)</w:t>
      </w:r>
      <w:r w:rsidR="00181FCC" w:rsidRPr="00D22736">
        <w:rPr>
          <w:rFonts w:asciiTheme="majorBidi" w:hAnsiTheme="majorBidi" w:cstheme="majorBidi"/>
        </w:rPr>
        <w:t xml:space="preserve"> for nine days</w:t>
      </w:r>
      <w:r w:rsidR="0027340F" w:rsidRPr="00D22736">
        <w:rPr>
          <w:rFonts w:asciiTheme="majorBidi" w:hAnsiTheme="majorBidi" w:cstheme="majorBidi"/>
        </w:rPr>
        <w:t xml:space="preserve">. Fourteen days </w:t>
      </w:r>
      <w:r w:rsidR="00181FCC" w:rsidRPr="00D22736">
        <w:rPr>
          <w:rFonts w:asciiTheme="majorBidi" w:hAnsiTheme="majorBidi" w:cstheme="majorBidi"/>
        </w:rPr>
        <w:t xml:space="preserve">from the start of the treatment, </w:t>
      </w:r>
      <w:r w:rsidR="0027340F" w:rsidRPr="00D22736">
        <w:rPr>
          <w:rFonts w:asciiTheme="majorBidi" w:hAnsiTheme="majorBidi" w:cstheme="majorBidi"/>
        </w:rPr>
        <w:t xml:space="preserve">the mice were </w:t>
      </w:r>
      <w:r w:rsidR="00181FCC" w:rsidRPr="00D22736">
        <w:rPr>
          <w:rFonts w:asciiTheme="majorBidi" w:hAnsiTheme="majorBidi" w:cstheme="majorBidi"/>
        </w:rPr>
        <w:t xml:space="preserve">euthanized </w:t>
      </w:r>
      <w:r w:rsidR="0027340F" w:rsidRPr="00D22736">
        <w:rPr>
          <w:rFonts w:asciiTheme="majorBidi" w:hAnsiTheme="majorBidi" w:cstheme="majorBidi"/>
        </w:rPr>
        <w:t>and the splenocytes were extracted</w:t>
      </w:r>
      <w:r w:rsidR="00181FCC" w:rsidRPr="00D22736">
        <w:rPr>
          <w:rFonts w:asciiTheme="majorBidi" w:hAnsiTheme="majorBidi" w:cstheme="majorBidi"/>
        </w:rPr>
        <w:t xml:space="preserve"> (B; n = 3 mice/condition; 1 of 2 experiments)</w:t>
      </w:r>
      <w:r w:rsidR="0027340F" w:rsidRPr="00D22736">
        <w:rPr>
          <w:rFonts w:asciiTheme="majorBidi" w:hAnsiTheme="majorBidi" w:cstheme="majorBidi"/>
        </w:rPr>
        <w:t xml:space="preserve">. </w:t>
      </w:r>
      <w:r w:rsidR="00181FCC" w:rsidRPr="00D22736">
        <w:rPr>
          <w:rFonts w:asciiTheme="majorBidi" w:hAnsiTheme="majorBidi" w:cstheme="majorBidi"/>
        </w:rPr>
        <w:t>(</w:t>
      </w:r>
      <w:r w:rsidR="00181FCC" w:rsidRPr="00D22736">
        <w:rPr>
          <w:rFonts w:asciiTheme="majorBidi" w:hAnsiTheme="majorBidi" w:cstheme="majorBidi"/>
          <w:b/>
          <w:bCs/>
        </w:rPr>
        <w:t>C</w:t>
      </w:r>
      <w:r w:rsidR="0027340F" w:rsidRPr="00D22736">
        <w:rPr>
          <w:rFonts w:asciiTheme="majorBidi" w:hAnsiTheme="majorBidi" w:cstheme="majorBidi"/>
        </w:rPr>
        <w:t xml:space="preserve">) </w:t>
      </w:r>
      <w:r w:rsidR="00181FCC" w:rsidRPr="00D22736">
        <w:t>Gating strategy identifying splenic CD4</w:t>
      </w:r>
      <w:r w:rsidR="00181FCC" w:rsidRPr="00D22736">
        <w:rPr>
          <w:vertAlign w:val="superscript"/>
        </w:rPr>
        <w:t>+</w:t>
      </w:r>
      <w:r w:rsidR="00181FCC" w:rsidRPr="00D22736">
        <w:t xml:space="preserve"> human </w:t>
      </w:r>
      <w:r w:rsidR="00181FCC" w:rsidRPr="00D22736">
        <w:rPr>
          <w:rFonts w:asciiTheme="majorBidi" w:hAnsiTheme="majorBidi" w:cstheme="majorBidi"/>
        </w:rPr>
        <w:t>T cells. (</w:t>
      </w:r>
      <w:r w:rsidR="00181FCC" w:rsidRPr="00D22736">
        <w:rPr>
          <w:rFonts w:asciiTheme="majorBidi" w:hAnsiTheme="majorBidi" w:cstheme="majorBidi"/>
          <w:b/>
          <w:bCs/>
        </w:rPr>
        <w:t>D</w:t>
      </w:r>
      <w:r w:rsidR="00181FCC" w:rsidRPr="00D22736">
        <w:rPr>
          <w:rFonts w:asciiTheme="majorBidi" w:hAnsiTheme="majorBidi" w:cstheme="majorBidi"/>
        </w:rPr>
        <w:t>) Flow cytometric analysis and box plots of CD25</w:t>
      </w:r>
      <w:r w:rsidR="00181FCC" w:rsidRPr="00D22736">
        <w:rPr>
          <w:rFonts w:asciiTheme="majorBidi" w:hAnsiTheme="majorBidi" w:cstheme="majorBidi"/>
          <w:vertAlign w:val="superscript"/>
        </w:rPr>
        <w:t>+</w:t>
      </w:r>
      <w:r w:rsidR="00181FCC" w:rsidRPr="00D22736">
        <w:rPr>
          <w:rFonts w:asciiTheme="majorBidi" w:hAnsiTheme="majorBidi" w:cstheme="majorBidi"/>
        </w:rPr>
        <w:t>FoxP3</w:t>
      </w:r>
      <w:r w:rsidR="00181FCC" w:rsidRPr="00D22736">
        <w:rPr>
          <w:rFonts w:asciiTheme="majorBidi" w:hAnsiTheme="majorBidi" w:cstheme="majorBidi"/>
          <w:vertAlign w:val="superscript"/>
        </w:rPr>
        <w:t>+</w:t>
      </w:r>
      <w:r w:rsidR="00181FCC" w:rsidRPr="00D22736">
        <w:rPr>
          <w:rFonts w:asciiTheme="majorBidi" w:hAnsiTheme="majorBidi" w:cstheme="majorBidi"/>
        </w:rPr>
        <w:t xml:space="preserve"> </w:t>
      </w:r>
      <w:r w:rsidR="00AF0590" w:rsidRPr="00D22736">
        <w:rPr>
          <w:rFonts w:asciiTheme="majorBidi" w:hAnsiTheme="majorBidi" w:cstheme="majorBidi"/>
        </w:rPr>
        <w:t>and CD25</w:t>
      </w:r>
      <w:r w:rsidR="00AF0590" w:rsidRPr="00D22736">
        <w:rPr>
          <w:rFonts w:asciiTheme="majorBidi" w:hAnsiTheme="majorBidi" w:cstheme="majorBidi"/>
          <w:vertAlign w:val="superscript"/>
        </w:rPr>
        <w:t>++</w:t>
      </w:r>
      <w:r w:rsidR="00AF0590" w:rsidRPr="00D22736">
        <w:rPr>
          <w:rFonts w:asciiTheme="majorBidi" w:hAnsiTheme="majorBidi" w:cstheme="majorBidi"/>
        </w:rPr>
        <w:t>FoxP3</w:t>
      </w:r>
      <w:r w:rsidR="00AF0590" w:rsidRPr="00D22736">
        <w:rPr>
          <w:rFonts w:asciiTheme="majorBidi" w:hAnsiTheme="majorBidi" w:cstheme="majorBidi"/>
          <w:vertAlign w:val="superscript"/>
        </w:rPr>
        <w:t>+</w:t>
      </w:r>
      <w:r w:rsidR="00AF0590" w:rsidRPr="00D22736">
        <w:rPr>
          <w:rFonts w:asciiTheme="majorBidi" w:hAnsiTheme="majorBidi" w:cstheme="majorBidi"/>
        </w:rPr>
        <w:t xml:space="preserve"> </w:t>
      </w:r>
      <w:r w:rsidR="00181FCC" w:rsidRPr="00D22736">
        <w:rPr>
          <w:rFonts w:asciiTheme="majorBidi" w:hAnsiTheme="majorBidi" w:cstheme="majorBidi"/>
        </w:rPr>
        <w:t>T</w:t>
      </w:r>
      <w:r w:rsidR="00181FCC" w:rsidRPr="00D22736">
        <w:rPr>
          <w:rFonts w:asciiTheme="majorBidi" w:hAnsiTheme="majorBidi" w:cstheme="majorBidi"/>
          <w:vertAlign w:val="subscript"/>
        </w:rPr>
        <w:t>regs</w:t>
      </w:r>
      <w:r w:rsidR="00181FCC" w:rsidRPr="00D22736">
        <w:rPr>
          <w:rFonts w:asciiTheme="majorBidi" w:hAnsiTheme="majorBidi" w:cstheme="majorBidi"/>
        </w:rPr>
        <w:t xml:space="preserve"> among CD4</w:t>
      </w:r>
      <w:r w:rsidR="00181FCC" w:rsidRPr="00D22736">
        <w:rPr>
          <w:rFonts w:asciiTheme="majorBidi" w:hAnsiTheme="majorBidi" w:cstheme="majorBidi"/>
          <w:vertAlign w:val="superscript"/>
        </w:rPr>
        <w:t>+</w:t>
      </w:r>
      <w:r w:rsidR="00181FCC" w:rsidRPr="00D22736">
        <w:rPr>
          <w:rFonts w:asciiTheme="majorBidi" w:hAnsiTheme="majorBidi" w:cstheme="majorBidi"/>
        </w:rPr>
        <w:t xml:space="preserve"> T cells.</w:t>
      </w:r>
      <w:r w:rsidR="0027340F" w:rsidRPr="00D22736">
        <w:rPr>
          <w:rFonts w:asciiTheme="majorBidi" w:hAnsiTheme="majorBidi" w:cstheme="majorBidi"/>
        </w:rPr>
        <w:t xml:space="preserve"> </w:t>
      </w:r>
      <w:r w:rsidR="002B5EF2" w:rsidRPr="00D22736">
        <w:rPr>
          <w:rFonts w:asciiTheme="majorBidi" w:hAnsiTheme="majorBidi" w:cstheme="majorBidi"/>
        </w:rPr>
        <w:t xml:space="preserve"> </w:t>
      </w:r>
      <w:r w:rsidR="0027340F" w:rsidRPr="00D22736">
        <w:rPr>
          <w:rFonts w:asciiTheme="majorBidi" w:hAnsiTheme="majorBidi" w:cstheme="majorBidi"/>
        </w:rPr>
        <w:t>(</w:t>
      </w:r>
      <w:r w:rsidR="00181FCC" w:rsidRPr="00D22736">
        <w:rPr>
          <w:rFonts w:asciiTheme="majorBidi" w:hAnsiTheme="majorBidi" w:cstheme="majorBidi"/>
          <w:b/>
          <w:bCs/>
        </w:rPr>
        <w:t>E</w:t>
      </w:r>
      <w:r w:rsidR="00181FCC" w:rsidRPr="00D22736">
        <w:rPr>
          <w:rFonts w:asciiTheme="majorBidi" w:hAnsiTheme="majorBidi" w:cstheme="majorBidi"/>
        </w:rPr>
        <w:t xml:space="preserve"> </w:t>
      </w:r>
      <w:r w:rsidR="007D7A0E" w:rsidRPr="00D22736">
        <w:rPr>
          <w:rFonts w:asciiTheme="majorBidi" w:hAnsiTheme="majorBidi" w:cstheme="majorBidi"/>
        </w:rPr>
        <w:t>and</w:t>
      </w:r>
      <w:r w:rsidR="00181FCC" w:rsidRPr="00D22736">
        <w:rPr>
          <w:rFonts w:asciiTheme="majorBidi" w:hAnsiTheme="majorBidi" w:cstheme="majorBidi"/>
        </w:rPr>
        <w:t xml:space="preserve"> </w:t>
      </w:r>
      <w:r w:rsidR="00181FCC" w:rsidRPr="00D22736">
        <w:rPr>
          <w:rFonts w:asciiTheme="majorBidi" w:hAnsiTheme="majorBidi" w:cstheme="majorBidi"/>
          <w:b/>
          <w:bCs/>
        </w:rPr>
        <w:t>F</w:t>
      </w:r>
      <w:r w:rsidR="0027340F" w:rsidRPr="00D22736">
        <w:rPr>
          <w:rFonts w:asciiTheme="majorBidi" w:hAnsiTheme="majorBidi" w:cstheme="majorBidi"/>
        </w:rPr>
        <w:t xml:space="preserve">) </w:t>
      </w:r>
      <w:r w:rsidR="00181FCC" w:rsidRPr="00D22736">
        <w:rPr>
          <w:rFonts w:asciiTheme="majorBidi" w:hAnsiTheme="majorBidi" w:cstheme="majorBidi"/>
        </w:rPr>
        <w:t>Flow cytometric analysis and box plots of GrB</w:t>
      </w:r>
      <w:r w:rsidR="00181FCC" w:rsidRPr="00D22736">
        <w:rPr>
          <w:rFonts w:asciiTheme="majorBidi" w:hAnsiTheme="majorBidi" w:cstheme="majorBidi"/>
          <w:vertAlign w:val="superscript"/>
        </w:rPr>
        <w:t>+</w:t>
      </w:r>
      <w:r w:rsidR="00181FCC" w:rsidRPr="00D22736">
        <w:rPr>
          <w:rFonts w:asciiTheme="majorBidi" w:hAnsiTheme="majorBidi" w:cstheme="majorBidi"/>
        </w:rPr>
        <w:t xml:space="preserve"> cells among FoxP3</w:t>
      </w:r>
      <w:r w:rsidR="00181FCC" w:rsidRPr="00D22736">
        <w:rPr>
          <w:rFonts w:asciiTheme="majorBidi" w:hAnsiTheme="majorBidi" w:cstheme="majorBidi"/>
          <w:vertAlign w:val="superscript"/>
        </w:rPr>
        <w:t>+</w:t>
      </w:r>
      <w:r w:rsidR="00181FCC" w:rsidRPr="00D22736">
        <w:rPr>
          <w:rFonts w:asciiTheme="majorBidi" w:hAnsiTheme="majorBidi" w:cstheme="majorBidi"/>
        </w:rPr>
        <w:t xml:space="preserve"> T</w:t>
      </w:r>
      <w:r w:rsidR="00181FCC" w:rsidRPr="00D22736">
        <w:rPr>
          <w:rFonts w:asciiTheme="majorBidi" w:hAnsiTheme="majorBidi" w:cstheme="majorBidi"/>
          <w:vertAlign w:val="subscript"/>
        </w:rPr>
        <w:t>regs</w:t>
      </w:r>
      <w:r w:rsidR="002B5EF2" w:rsidRPr="00D22736">
        <w:rPr>
          <w:rFonts w:asciiTheme="majorBidi" w:hAnsiTheme="majorBidi" w:cstheme="majorBidi"/>
        </w:rPr>
        <w:t xml:space="preserve"> (E), </w:t>
      </w:r>
      <w:r w:rsidR="003D4794" w:rsidRPr="00D22736">
        <w:rPr>
          <w:rFonts w:asciiTheme="majorBidi" w:hAnsiTheme="majorBidi" w:cstheme="majorBidi"/>
        </w:rPr>
        <w:t>and box plots of GrB mean fluorescence intensities (MFIs) among</w:t>
      </w:r>
      <w:r w:rsidR="002B5EF2" w:rsidRPr="00D22736">
        <w:rPr>
          <w:rFonts w:asciiTheme="majorBidi" w:hAnsiTheme="majorBidi" w:cstheme="majorBidi"/>
        </w:rPr>
        <w:t xml:space="preserve"> FoxP3</w:t>
      </w:r>
      <w:r w:rsidR="002B5EF2" w:rsidRPr="00D22736">
        <w:rPr>
          <w:rFonts w:asciiTheme="majorBidi" w:hAnsiTheme="majorBidi" w:cstheme="majorBidi"/>
          <w:vertAlign w:val="superscript"/>
        </w:rPr>
        <w:t>+</w:t>
      </w:r>
      <w:r w:rsidR="002B5EF2" w:rsidRPr="00D22736">
        <w:rPr>
          <w:rFonts w:asciiTheme="majorBidi" w:hAnsiTheme="majorBidi" w:cstheme="majorBidi"/>
        </w:rPr>
        <w:t xml:space="preserve"> T</w:t>
      </w:r>
      <w:r w:rsidR="002B5EF2" w:rsidRPr="00D22736">
        <w:rPr>
          <w:rFonts w:asciiTheme="majorBidi" w:hAnsiTheme="majorBidi" w:cstheme="majorBidi"/>
          <w:vertAlign w:val="subscript"/>
        </w:rPr>
        <w:t>regs</w:t>
      </w:r>
      <w:r w:rsidR="002B5EF2" w:rsidRPr="00D22736">
        <w:rPr>
          <w:rFonts w:asciiTheme="majorBidi" w:hAnsiTheme="majorBidi" w:cstheme="majorBidi"/>
        </w:rPr>
        <w:t xml:space="preserve"> (F). (</w:t>
      </w:r>
      <w:r w:rsidR="002B5EF2" w:rsidRPr="00D22736">
        <w:rPr>
          <w:rFonts w:asciiTheme="majorBidi" w:hAnsiTheme="majorBidi" w:cstheme="majorBidi"/>
          <w:b/>
          <w:bCs/>
        </w:rPr>
        <w:t>G</w:t>
      </w:r>
      <w:r w:rsidR="002B5EF2" w:rsidRPr="00D22736">
        <w:rPr>
          <w:rFonts w:asciiTheme="majorBidi" w:hAnsiTheme="majorBidi" w:cstheme="majorBidi"/>
        </w:rPr>
        <w:t xml:space="preserve"> </w:t>
      </w:r>
      <w:r w:rsidR="007D7A0E" w:rsidRPr="00D22736">
        <w:rPr>
          <w:rFonts w:asciiTheme="majorBidi" w:hAnsiTheme="majorBidi" w:cstheme="majorBidi"/>
        </w:rPr>
        <w:t>and</w:t>
      </w:r>
      <w:r w:rsidR="002B5EF2" w:rsidRPr="00D22736">
        <w:rPr>
          <w:rFonts w:asciiTheme="majorBidi" w:hAnsiTheme="majorBidi" w:cstheme="majorBidi"/>
        </w:rPr>
        <w:t xml:space="preserve"> </w:t>
      </w:r>
      <w:r w:rsidR="002B5EF2" w:rsidRPr="00D22736">
        <w:rPr>
          <w:rFonts w:asciiTheme="majorBidi" w:hAnsiTheme="majorBidi" w:cstheme="majorBidi"/>
          <w:b/>
          <w:bCs/>
        </w:rPr>
        <w:t>H</w:t>
      </w:r>
      <w:r w:rsidR="002B5EF2" w:rsidRPr="00D22736">
        <w:rPr>
          <w:rFonts w:asciiTheme="majorBidi" w:hAnsiTheme="majorBidi" w:cstheme="majorBidi"/>
        </w:rPr>
        <w:t>) Flow cytometric analysis and box plots of Annexin V</w:t>
      </w:r>
      <w:r w:rsidR="002B5EF2" w:rsidRPr="00D22736">
        <w:rPr>
          <w:rFonts w:asciiTheme="majorBidi" w:hAnsiTheme="majorBidi" w:cstheme="majorBidi"/>
          <w:vertAlign w:val="superscript"/>
        </w:rPr>
        <w:t>+</w:t>
      </w:r>
      <w:r w:rsidR="002B5EF2" w:rsidRPr="00D22736">
        <w:rPr>
          <w:rFonts w:asciiTheme="majorBidi" w:hAnsiTheme="majorBidi" w:cstheme="majorBidi"/>
        </w:rPr>
        <w:t xml:space="preserve"> cells among FoxP3</w:t>
      </w:r>
      <w:r w:rsidR="002B5EF2" w:rsidRPr="00D22736">
        <w:rPr>
          <w:rFonts w:asciiTheme="majorBidi" w:hAnsiTheme="majorBidi" w:cstheme="majorBidi"/>
          <w:vertAlign w:val="superscript"/>
        </w:rPr>
        <w:t>+</w:t>
      </w:r>
      <w:r w:rsidR="002B5EF2" w:rsidRPr="00D22736">
        <w:rPr>
          <w:rFonts w:asciiTheme="majorBidi" w:hAnsiTheme="majorBidi" w:cstheme="majorBidi"/>
        </w:rPr>
        <w:t xml:space="preserve"> T</w:t>
      </w:r>
      <w:r w:rsidR="002B5EF2" w:rsidRPr="00D22736">
        <w:rPr>
          <w:rFonts w:asciiTheme="majorBidi" w:hAnsiTheme="majorBidi" w:cstheme="majorBidi"/>
          <w:vertAlign w:val="subscript"/>
        </w:rPr>
        <w:t>regs</w:t>
      </w:r>
      <w:r w:rsidR="002B5EF2" w:rsidRPr="00D22736">
        <w:rPr>
          <w:rFonts w:asciiTheme="majorBidi" w:hAnsiTheme="majorBidi" w:cstheme="majorBidi"/>
        </w:rPr>
        <w:t xml:space="preserve"> (G), and box plots of Annexin V MFIs among FoxP3</w:t>
      </w:r>
      <w:r w:rsidR="002B5EF2" w:rsidRPr="00D22736">
        <w:rPr>
          <w:rFonts w:asciiTheme="majorBidi" w:hAnsiTheme="majorBidi" w:cstheme="majorBidi"/>
          <w:vertAlign w:val="superscript"/>
        </w:rPr>
        <w:t>+</w:t>
      </w:r>
      <w:r w:rsidR="002B5EF2" w:rsidRPr="00D22736">
        <w:rPr>
          <w:rFonts w:asciiTheme="majorBidi" w:hAnsiTheme="majorBidi" w:cstheme="majorBidi"/>
        </w:rPr>
        <w:t xml:space="preserve"> T</w:t>
      </w:r>
      <w:r w:rsidR="002B5EF2" w:rsidRPr="00D22736">
        <w:rPr>
          <w:rFonts w:asciiTheme="majorBidi" w:hAnsiTheme="majorBidi" w:cstheme="majorBidi"/>
          <w:vertAlign w:val="subscript"/>
        </w:rPr>
        <w:t>regs</w:t>
      </w:r>
      <w:r w:rsidR="002B5EF2" w:rsidRPr="00D22736">
        <w:rPr>
          <w:rFonts w:asciiTheme="majorBidi" w:hAnsiTheme="majorBidi" w:cstheme="majorBidi"/>
        </w:rPr>
        <w:t xml:space="preserve"> (H). </w:t>
      </w:r>
      <w:r w:rsidR="0027340F" w:rsidRPr="00D22736">
        <w:rPr>
          <w:rFonts w:asciiTheme="majorBidi" w:hAnsiTheme="majorBidi" w:cstheme="majorBidi"/>
        </w:rPr>
        <w:t>(</w:t>
      </w:r>
      <w:r w:rsidR="002B5EF2" w:rsidRPr="00D22736">
        <w:rPr>
          <w:rFonts w:asciiTheme="majorBidi" w:hAnsiTheme="majorBidi" w:cstheme="majorBidi"/>
          <w:b/>
          <w:bCs/>
        </w:rPr>
        <w:t>I</w:t>
      </w:r>
      <w:r w:rsidR="0027340F" w:rsidRPr="00D22736">
        <w:rPr>
          <w:rFonts w:asciiTheme="majorBidi" w:hAnsiTheme="majorBidi" w:cstheme="majorBidi"/>
        </w:rPr>
        <w:t xml:space="preserve">) </w:t>
      </w:r>
      <w:r w:rsidR="002B5EF2" w:rsidRPr="00D22736">
        <w:rPr>
          <w:rFonts w:asciiTheme="majorBidi" w:hAnsiTheme="majorBidi" w:cstheme="majorBidi"/>
        </w:rPr>
        <w:t>Box plots of live Annexin V</w:t>
      </w:r>
      <w:r w:rsidR="002B5EF2" w:rsidRPr="00D22736">
        <w:rPr>
          <w:rFonts w:asciiTheme="majorBidi" w:hAnsiTheme="majorBidi" w:cstheme="majorBidi"/>
          <w:vertAlign w:val="superscript"/>
        </w:rPr>
        <w:t>-</w:t>
      </w:r>
      <w:r w:rsidR="002B5EF2" w:rsidRPr="00D22736">
        <w:rPr>
          <w:rFonts w:asciiTheme="majorBidi" w:hAnsiTheme="majorBidi" w:cstheme="majorBidi"/>
        </w:rPr>
        <w:t xml:space="preserve"> CD25</w:t>
      </w:r>
      <w:r w:rsidR="002B5EF2" w:rsidRPr="00D22736">
        <w:rPr>
          <w:rFonts w:asciiTheme="majorBidi" w:hAnsiTheme="majorBidi" w:cstheme="majorBidi"/>
          <w:vertAlign w:val="superscript"/>
        </w:rPr>
        <w:t>hi</w:t>
      </w:r>
      <w:r w:rsidR="002B5EF2" w:rsidRPr="00D22736">
        <w:rPr>
          <w:rFonts w:asciiTheme="majorBidi" w:hAnsiTheme="majorBidi" w:cstheme="majorBidi"/>
        </w:rPr>
        <w:t>CD127</w:t>
      </w:r>
      <w:r w:rsidR="002B5EF2" w:rsidRPr="00D22736">
        <w:rPr>
          <w:rFonts w:asciiTheme="majorBidi" w:hAnsiTheme="majorBidi" w:cstheme="majorBidi"/>
          <w:vertAlign w:val="superscript"/>
        </w:rPr>
        <w:t>lo</w:t>
      </w:r>
      <w:r w:rsidR="002B5EF2" w:rsidRPr="00D22736">
        <w:rPr>
          <w:rFonts w:asciiTheme="majorBidi" w:hAnsiTheme="majorBidi" w:cstheme="majorBidi"/>
        </w:rPr>
        <w:t xml:space="preserve"> FoxP3</w:t>
      </w:r>
      <w:r w:rsidR="002B5EF2" w:rsidRPr="00D22736">
        <w:rPr>
          <w:rFonts w:asciiTheme="majorBidi" w:hAnsiTheme="majorBidi" w:cstheme="majorBidi"/>
          <w:vertAlign w:val="superscript"/>
        </w:rPr>
        <w:t>+</w:t>
      </w:r>
      <w:r w:rsidR="002B5EF2" w:rsidRPr="00D22736">
        <w:rPr>
          <w:rFonts w:asciiTheme="majorBidi" w:hAnsiTheme="majorBidi" w:cstheme="majorBidi"/>
        </w:rPr>
        <w:t xml:space="preserve"> T</w:t>
      </w:r>
      <w:r w:rsidR="002B5EF2" w:rsidRPr="00D22736">
        <w:rPr>
          <w:rFonts w:asciiTheme="majorBidi" w:hAnsiTheme="majorBidi" w:cstheme="majorBidi"/>
          <w:vertAlign w:val="subscript"/>
        </w:rPr>
        <w:t>regs</w:t>
      </w:r>
      <w:r w:rsidR="002B5EF2" w:rsidRPr="00D22736">
        <w:rPr>
          <w:rFonts w:asciiTheme="majorBidi" w:hAnsiTheme="majorBidi" w:cstheme="majorBidi"/>
        </w:rPr>
        <w:t xml:space="preserve"> among CD4</w:t>
      </w:r>
      <w:r w:rsidR="002B5EF2" w:rsidRPr="00D22736">
        <w:rPr>
          <w:rFonts w:asciiTheme="majorBidi" w:hAnsiTheme="majorBidi" w:cstheme="majorBidi"/>
          <w:vertAlign w:val="superscript"/>
        </w:rPr>
        <w:t>+</w:t>
      </w:r>
      <w:r w:rsidR="002B5EF2" w:rsidRPr="00D22736">
        <w:rPr>
          <w:rFonts w:asciiTheme="majorBidi" w:hAnsiTheme="majorBidi" w:cstheme="majorBidi"/>
        </w:rPr>
        <w:t xml:space="preserve"> T cells</w:t>
      </w:r>
      <w:r w:rsidR="00A341C0" w:rsidRPr="00D22736">
        <w:rPr>
          <w:rFonts w:asciiTheme="majorBidi" w:hAnsiTheme="majorBidi" w:cstheme="majorBidi"/>
        </w:rPr>
        <w:t>. (</w:t>
      </w:r>
      <w:r w:rsidR="00A341C0" w:rsidRPr="00D22736">
        <w:rPr>
          <w:rFonts w:asciiTheme="majorBidi" w:hAnsiTheme="majorBidi" w:cstheme="majorBidi"/>
          <w:b/>
          <w:bCs/>
        </w:rPr>
        <w:t>J</w:t>
      </w:r>
      <w:r w:rsidR="00A341C0" w:rsidRPr="00D22736">
        <w:rPr>
          <w:rFonts w:asciiTheme="majorBidi" w:hAnsiTheme="majorBidi" w:cstheme="majorBidi"/>
        </w:rPr>
        <w:t>)</w:t>
      </w:r>
      <w:r w:rsidR="002B5EF2" w:rsidRPr="00D22736">
        <w:rPr>
          <w:rFonts w:asciiTheme="majorBidi" w:hAnsiTheme="majorBidi" w:cstheme="majorBidi"/>
        </w:rPr>
        <w:t xml:space="preserve"> </w:t>
      </w:r>
      <w:r w:rsidR="00A341C0" w:rsidRPr="00D22736">
        <w:rPr>
          <w:rFonts w:asciiTheme="majorBidi" w:hAnsiTheme="majorBidi" w:cstheme="majorBidi"/>
        </w:rPr>
        <w:t>Flow cytometric analysis and box plots of p-4E-BP</w:t>
      </w:r>
      <w:r w:rsidR="00A341C0" w:rsidRPr="00D22736">
        <w:rPr>
          <w:rFonts w:asciiTheme="majorBidi" w:hAnsiTheme="majorBidi" w:cstheme="majorBidi"/>
          <w:vertAlign w:val="superscript"/>
        </w:rPr>
        <w:t>+</w:t>
      </w:r>
      <w:r w:rsidR="00A341C0" w:rsidRPr="00D22736">
        <w:rPr>
          <w:rFonts w:asciiTheme="majorBidi" w:hAnsiTheme="majorBidi" w:cstheme="majorBidi"/>
        </w:rPr>
        <w:t xml:space="preserve"> cells among FoxP3</w:t>
      </w:r>
      <w:r w:rsidR="00A341C0" w:rsidRPr="00D22736">
        <w:rPr>
          <w:rFonts w:asciiTheme="majorBidi" w:hAnsiTheme="majorBidi" w:cstheme="majorBidi"/>
          <w:vertAlign w:val="superscript"/>
        </w:rPr>
        <w:t>+</w:t>
      </w:r>
      <w:r w:rsidR="00A341C0" w:rsidRPr="00D22736">
        <w:rPr>
          <w:rFonts w:asciiTheme="majorBidi" w:hAnsiTheme="majorBidi" w:cstheme="majorBidi"/>
        </w:rPr>
        <w:t xml:space="preserve"> T</w:t>
      </w:r>
      <w:r w:rsidR="00A341C0" w:rsidRPr="00D22736">
        <w:rPr>
          <w:rFonts w:asciiTheme="majorBidi" w:hAnsiTheme="majorBidi" w:cstheme="majorBidi"/>
          <w:vertAlign w:val="subscript"/>
        </w:rPr>
        <w:t>regs</w:t>
      </w:r>
      <w:r w:rsidR="00A341C0" w:rsidRPr="00D22736">
        <w:rPr>
          <w:rFonts w:asciiTheme="majorBidi" w:hAnsiTheme="majorBidi" w:cstheme="majorBidi"/>
        </w:rPr>
        <w:t xml:space="preserve">. Data represent boxplots with median, interquartile range, minimum, maximum, and all individual data points of the denoted experimental groups. </w:t>
      </w:r>
      <w:r w:rsidR="00A341C0" w:rsidRPr="00D22736">
        <w:rPr>
          <w:rFonts w:asciiTheme="majorBidi" w:hAnsiTheme="majorBidi" w:cstheme="majorBidi"/>
          <w:i/>
          <w:iCs/>
        </w:rPr>
        <w:t>P</w:t>
      </w:r>
      <w:r w:rsidR="00A341C0" w:rsidRPr="00D22736">
        <w:rPr>
          <w:rFonts w:asciiTheme="majorBidi" w:hAnsiTheme="majorBidi" w:cstheme="majorBidi"/>
        </w:rPr>
        <w:t xml:space="preserve"> values were calculated with independent samples two-tailed Student’s </w:t>
      </w:r>
      <w:r w:rsidR="00A341C0" w:rsidRPr="00D22736">
        <w:rPr>
          <w:rFonts w:asciiTheme="majorBidi" w:hAnsiTheme="majorBidi" w:cstheme="majorBidi"/>
          <w:i/>
          <w:iCs/>
        </w:rPr>
        <w:t>t</w:t>
      </w:r>
      <w:r w:rsidR="00A341C0" w:rsidRPr="00D22736">
        <w:rPr>
          <w:rFonts w:asciiTheme="majorBidi" w:hAnsiTheme="majorBidi" w:cstheme="majorBidi"/>
        </w:rPr>
        <w:t xml:space="preserve">-tests, and non-parametric Mann-Whitney </w:t>
      </w:r>
      <w:r w:rsidR="00A341C0" w:rsidRPr="00D22736">
        <w:rPr>
          <w:rFonts w:asciiTheme="majorBidi" w:hAnsiTheme="majorBidi" w:cstheme="majorBidi"/>
          <w:i/>
          <w:iCs/>
        </w:rPr>
        <w:t>U</w:t>
      </w:r>
      <w:r w:rsidR="00A341C0" w:rsidRPr="00D22736">
        <w:rPr>
          <w:rFonts w:asciiTheme="majorBidi" w:hAnsiTheme="majorBidi" w:cstheme="majorBidi"/>
        </w:rPr>
        <w:t>-tests were performed when the assumption of homoscedasticity could not be met. GrB, granzyme B; MFI, mean fluorescence intensity; Rapa, rapamycin.</w:t>
      </w:r>
    </w:p>
    <w:sectPr w:rsidR="00672B8B" w:rsidRPr="00D22736" w:rsidSect="001423C2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CFBE2" w14:textId="77777777" w:rsidR="00B124AC" w:rsidRDefault="00B124AC" w:rsidP="00ED2E8E">
      <w:r>
        <w:separator/>
      </w:r>
    </w:p>
  </w:endnote>
  <w:endnote w:type="continuationSeparator" w:id="0">
    <w:p w14:paraId="6B6D0B30" w14:textId="77777777" w:rsidR="00B124AC" w:rsidRDefault="00B124AC" w:rsidP="00ED2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CenturySchlbk-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36667296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41BC01" w14:textId="7B47FDAF" w:rsidR="00681B20" w:rsidRPr="00681B20" w:rsidRDefault="00681B20" w:rsidP="00681B20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pg.  </w:t>
            </w:r>
            <w:r w:rsidRPr="00681B20">
              <w:rPr>
                <w:sz w:val="20"/>
                <w:szCs w:val="20"/>
              </w:rPr>
              <w:t xml:space="preserve"> </w:t>
            </w:r>
            <w:r w:rsidRPr="00681B20">
              <w:rPr>
                <w:b/>
                <w:bCs/>
                <w:sz w:val="20"/>
                <w:szCs w:val="20"/>
              </w:rPr>
              <w:fldChar w:fldCharType="begin"/>
            </w:r>
            <w:r w:rsidRPr="00681B20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681B20">
              <w:rPr>
                <w:b/>
                <w:bCs/>
                <w:sz w:val="20"/>
                <w:szCs w:val="20"/>
              </w:rPr>
              <w:fldChar w:fldCharType="separate"/>
            </w:r>
            <w:r w:rsidRPr="00681B20">
              <w:rPr>
                <w:b/>
                <w:bCs/>
                <w:noProof/>
                <w:sz w:val="20"/>
                <w:szCs w:val="20"/>
              </w:rPr>
              <w:t>2</w:t>
            </w:r>
            <w:r w:rsidRPr="00681B20">
              <w:rPr>
                <w:b/>
                <w:bCs/>
                <w:sz w:val="20"/>
                <w:szCs w:val="20"/>
              </w:rPr>
              <w:fldChar w:fldCharType="end"/>
            </w:r>
            <w:r w:rsidRPr="00681B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| </w:t>
            </w:r>
            <w:r w:rsidRPr="00681B20">
              <w:rPr>
                <w:sz w:val="20"/>
                <w:szCs w:val="20"/>
              </w:rPr>
              <w:t xml:space="preserve"> </w:t>
            </w:r>
            <w:r w:rsidRPr="00681B20">
              <w:rPr>
                <w:b/>
                <w:bCs/>
                <w:sz w:val="20"/>
                <w:szCs w:val="20"/>
              </w:rPr>
              <w:fldChar w:fldCharType="begin"/>
            </w:r>
            <w:r w:rsidRPr="00681B20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681B20">
              <w:rPr>
                <w:b/>
                <w:bCs/>
                <w:sz w:val="20"/>
                <w:szCs w:val="20"/>
              </w:rPr>
              <w:fldChar w:fldCharType="separate"/>
            </w:r>
            <w:r w:rsidRPr="00681B20">
              <w:rPr>
                <w:b/>
                <w:bCs/>
                <w:noProof/>
                <w:sz w:val="20"/>
                <w:szCs w:val="20"/>
              </w:rPr>
              <w:t>2</w:t>
            </w:r>
            <w:r w:rsidRPr="00681B20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5773F" w14:textId="77777777" w:rsidR="00B124AC" w:rsidRDefault="00B124AC" w:rsidP="00ED2E8E">
      <w:r>
        <w:separator/>
      </w:r>
    </w:p>
  </w:footnote>
  <w:footnote w:type="continuationSeparator" w:id="0">
    <w:p w14:paraId="4E4D48A7" w14:textId="77777777" w:rsidR="00B124AC" w:rsidRDefault="00B124AC" w:rsidP="00ED2E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89E"/>
    <w:multiLevelType w:val="hybridMultilevel"/>
    <w:tmpl w:val="23329276"/>
    <w:lvl w:ilvl="0" w:tplc="C54A1B1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83ED0"/>
    <w:multiLevelType w:val="multilevel"/>
    <w:tmpl w:val="D87E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AA6A0E"/>
    <w:multiLevelType w:val="hybridMultilevel"/>
    <w:tmpl w:val="D2964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QwMDMxNTa0NDU1NTJQ0lEKTi0uzszPAykwtKgFAIxV4EMtAAAA"/>
  </w:docVars>
  <w:rsids>
    <w:rsidRoot w:val="0028083D"/>
    <w:rsid w:val="000007CC"/>
    <w:rsid w:val="00006F88"/>
    <w:rsid w:val="0001025D"/>
    <w:rsid w:val="00010C04"/>
    <w:rsid w:val="0001733E"/>
    <w:rsid w:val="000178E6"/>
    <w:rsid w:val="0002507C"/>
    <w:rsid w:val="00026599"/>
    <w:rsid w:val="00031E23"/>
    <w:rsid w:val="00035F87"/>
    <w:rsid w:val="00036191"/>
    <w:rsid w:val="0003750A"/>
    <w:rsid w:val="00037BEA"/>
    <w:rsid w:val="00041F19"/>
    <w:rsid w:val="000421A1"/>
    <w:rsid w:val="00043FE9"/>
    <w:rsid w:val="00044722"/>
    <w:rsid w:val="0005013A"/>
    <w:rsid w:val="00051DD7"/>
    <w:rsid w:val="00057ABF"/>
    <w:rsid w:val="00064A35"/>
    <w:rsid w:val="0006676A"/>
    <w:rsid w:val="00077D72"/>
    <w:rsid w:val="000805A2"/>
    <w:rsid w:val="00083BFC"/>
    <w:rsid w:val="00087F58"/>
    <w:rsid w:val="000935F9"/>
    <w:rsid w:val="00093C3A"/>
    <w:rsid w:val="000946FB"/>
    <w:rsid w:val="00097D64"/>
    <w:rsid w:val="000A49C6"/>
    <w:rsid w:val="000A7421"/>
    <w:rsid w:val="000B5709"/>
    <w:rsid w:val="000C025A"/>
    <w:rsid w:val="000C0CA7"/>
    <w:rsid w:val="000C153A"/>
    <w:rsid w:val="000C4B4E"/>
    <w:rsid w:val="000C5E93"/>
    <w:rsid w:val="000C7C8A"/>
    <w:rsid w:val="000D47D4"/>
    <w:rsid w:val="000E575C"/>
    <w:rsid w:val="000E5B0C"/>
    <w:rsid w:val="000E5EE0"/>
    <w:rsid w:val="000F18A1"/>
    <w:rsid w:val="000F55EB"/>
    <w:rsid w:val="001017A9"/>
    <w:rsid w:val="0010533B"/>
    <w:rsid w:val="00106B00"/>
    <w:rsid w:val="00114035"/>
    <w:rsid w:val="00114AD0"/>
    <w:rsid w:val="00117BBD"/>
    <w:rsid w:val="001231FB"/>
    <w:rsid w:val="00126E6C"/>
    <w:rsid w:val="00136013"/>
    <w:rsid w:val="00141BDB"/>
    <w:rsid w:val="001423C2"/>
    <w:rsid w:val="00152C17"/>
    <w:rsid w:val="00155B1E"/>
    <w:rsid w:val="00164770"/>
    <w:rsid w:val="00171D73"/>
    <w:rsid w:val="001722F8"/>
    <w:rsid w:val="00176416"/>
    <w:rsid w:val="001773F0"/>
    <w:rsid w:val="00181FCC"/>
    <w:rsid w:val="001859AE"/>
    <w:rsid w:val="00185A73"/>
    <w:rsid w:val="001863F2"/>
    <w:rsid w:val="00186AC9"/>
    <w:rsid w:val="00186B09"/>
    <w:rsid w:val="00190646"/>
    <w:rsid w:val="00192251"/>
    <w:rsid w:val="00195F7C"/>
    <w:rsid w:val="001A0DD7"/>
    <w:rsid w:val="001A2B2B"/>
    <w:rsid w:val="001A42D5"/>
    <w:rsid w:val="001A58B2"/>
    <w:rsid w:val="001A6BB4"/>
    <w:rsid w:val="001B4C6A"/>
    <w:rsid w:val="001C3A15"/>
    <w:rsid w:val="001D06F8"/>
    <w:rsid w:val="001D50B0"/>
    <w:rsid w:val="001D7226"/>
    <w:rsid w:val="001E330D"/>
    <w:rsid w:val="001E628B"/>
    <w:rsid w:val="001F186E"/>
    <w:rsid w:val="001F1B0A"/>
    <w:rsid w:val="001F4815"/>
    <w:rsid w:val="00201642"/>
    <w:rsid w:val="00202E68"/>
    <w:rsid w:val="00207F56"/>
    <w:rsid w:val="00230E77"/>
    <w:rsid w:val="00244833"/>
    <w:rsid w:val="0025641B"/>
    <w:rsid w:val="0026333F"/>
    <w:rsid w:val="00265E6B"/>
    <w:rsid w:val="002732CB"/>
    <w:rsid w:val="0027340F"/>
    <w:rsid w:val="0028083D"/>
    <w:rsid w:val="00282A60"/>
    <w:rsid w:val="00283266"/>
    <w:rsid w:val="00290FD3"/>
    <w:rsid w:val="00295875"/>
    <w:rsid w:val="002959BD"/>
    <w:rsid w:val="002A1C6F"/>
    <w:rsid w:val="002A2FDC"/>
    <w:rsid w:val="002A3640"/>
    <w:rsid w:val="002A52AA"/>
    <w:rsid w:val="002A6DEF"/>
    <w:rsid w:val="002B1495"/>
    <w:rsid w:val="002B49BD"/>
    <w:rsid w:val="002B5EF2"/>
    <w:rsid w:val="002B5F15"/>
    <w:rsid w:val="002B7A42"/>
    <w:rsid w:val="002B7C7B"/>
    <w:rsid w:val="002C4EBB"/>
    <w:rsid w:val="002C5BE9"/>
    <w:rsid w:val="002D02AB"/>
    <w:rsid w:val="002D6315"/>
    <w:rsid w:val="002E4973"/>
    <w:rsid w:val="00303606"/>
    <w:rsid w:val="00305FF7"/>
    <w:rsid w:val="0031375B"/>
    <w:rsid w:val="00314DC4"/>
    <w:rsid w:val="00315A2B"/>
    <w:rsid w:val="00315A80"/>
    <w:rsid w:val="00320B07"/>
    <w:rsid w:val="00320C34"/>
    <w:rsid w:val="003265F8"/>
    <w:rsid w:val="0033207E"/>
    <w:rsid w:val="003403CC"/>
    <w:rsid w:val="003507E9"/>
    <w:rsid w:val="00354227"/>
    <w:rsid w:val="00355062"/>
    <w:rsid w:val="00360F75"/>
    <w:rsid w:val="00361079"/>
    <w:rsid w:val="003612F4"/>
    <w:rsid w:val="00361D29"/>
    <w:rsid w:val="00364B5C"/>
    <w:rsid w:val="003714FE"/>
    <w:rsid w:val="003729E6"/>
    <w:rsid w:val="0038238A"/>
    <w:rsid w:val="00382E11"/>
    <w:rsid w:val="00386E92"/>
    <w:rsid w:val="00391F57"/>
    <w:rsid w:val="003945AE"/>
    <w:rsid w:val="00396763"/>
    <w:rsid w:val="003979F5"/>
    <w:rsid w:val="003A3219"/>
    <w:rsid w:val="003C7B4C"/>
    <w:rsid w:val="003D4794"/>
    <w:rsid w:val="003D60B5"/>
    <w:rsid w:val="003D75B6"/>
    <w:rsid w:val="003D77BB"/>
    <w:rsid w:val="003E0B49"/>
    <w:rsid w:val="003E7ABC"/>
    <w:rsid w:val="003F12D1"/>
    <w:rsid w:val="00400F4B"/>
    <w:rsid w:val="00405C93"/>
    <w:rsid w:val="00413B0D"/>
    <w:rsid w:val="004151ED"/>
    <w:rsid w:val="00421445"/>
    <w:rsid w:val="004320ED"/>
    <w:rsid w:val="004440BD"/>
    <w:rsid w:val="0045153B"/>
    <w:rsid w:val="00452A5B"/>
    <w:rsid w:val="00464AFF"/>
    <w:rsid w:val="00465F2B"/>
    <w:rsid w:val="004707E7"/>
    <w:rsid w:val="004759A4"/>
    <w:rsid w:val="00487538"/>
    <w:rsid w:val="00492FE8"/>
    <w:rsid w:val="00494A72"/>
    <w:rsid w:val="004A2DF2"/>
    <w:rsid w:val="004B091D"/>
    <w:rsid w:val="004B510B"/>
    <w:rsid w:val="004B6E08"/>
    <w:rsid w:val="004C7F5A"/>
    <w:rsid w:val="004D1700"/>
    <w:rsid w:val="004D6F58"/>
    <w:rsid w:val="004D7390"/>
    <w:rsid w:val="004E0594"/>
    <w:rsid w:val="004E7CEA"/>
    <w:rsid w:val="004F157F"/>
    <w:rsid w:val="004F54E1"/>
    <w:rsid w:val="0050424B"/>
    <w:rsid w:val="005101F7"/>
    <w:rsid w:val="005105E4"/>
    <w:rsid w:val="0051091D"/>
    <w:rsid w:val="00511D42"/>
    <w:rsid w:val="00525896"/>
    <w:rsid w:val="00525F10"/>
    <w:rsid w:val="00535A84"/>
    <w:rsid w:val="00542AFF"/>
    <w:rsid w:val="00544275"/>
    <w:rsid w:val="005505FF"/>
    <w:rsid w:val="0055068F"/>
    <w:rsid w:val="00555C71"/>
    <w:rsid w:val="00556D31"/>
    <w:rsid w:val="0056370B"/>
    <w:rsid w:val="005653DB"/>
    <w:rsid w:val="005710AD"/>
    <w:rsid w:val="005759D9"/>
    <w:rsid w:val="005822C3"/>
    <w:rsid w:val="0058497A"/>
    <w:rsid w:val="00586F9D"/>
    <w:rsid w:val="00596427"/>
    <w:rsid w:val="005A0744"/>
    <w:rsid w:val="005A0AC0"/>
    <w:rsid w:val="005A1D49"/>
    <w:rsid w:val="005A32EA"/>
    <w:rsid w:val="005A3C7B"/>
    <w:rsid w:val="005A5602"/>
    <w:rsid w:val="005B3382"/>
    <w:rsid w:val="005B5326"/>
    <w:rsid w:val="005C35EC"/>
    <w:rsid w:val="005C59D1"/>
    <w:rsid w:val="005D121D"/>
    <w:rsid w:val="005D1FE4"/>
    <w:rsid w:val="005E511D"/>
    <w:rsid w:val="005E76A7"/>
    <w:rsid w:val="005F24B4"/>
    <w:rsid w:val="00615899"/>
    <w:rsid w:val="006224AD"/>
    <w:rsid w:val="00627384"/>
    <w:rsid w:val="006309A6"/>
    <w:rsid w:val="00641AB1"/>
    <w:rsid w:val="00644860"/>
    <w:rsid w:val="0065152E"/>
    <w:rsid w:val="006559FC"/>
    <w:rsid w:val="00664416"/>
    <w:rsid w:val="00665229"/>
    <w:rsid w:val="00667788"/>
    <w:rsid w:val="00672B8B"/>
    <w:rsid w:val="00674403"/>
    <w:rsid w:val="00681B20"/>
    <w:rsid w:val="006827C7"/>
    <w:rsid w:val="00687814"/>
    <w:rsid w:val="006A2E95"/>
    <w:rsid w:val="006A5E79"/>
    <w:rsid w:val="006C55DF"/>
    <w:rsid w:val="006C630D"/>
    <w:rsid w:val="006D05D3"/>
    <w:rsid w:val="006D1B16"/>
    <w:rsid w:val="006D1FBD"/>
    <w:rsid w:val="006D3D12"/>
    <w:rsid w:val="006D3D57"/>
    <w:rsid w:val="006D5737"/>
    <w:rsid w:val="006E1E7C"/>
    <w:rsid w:val="006E3178"/>
    <w:rsid w:val="006E31D1"/>
    <w:rsid w:val="006E3AD4"/>
    <w:rsid w:val="00705A1B"/>
    <w:rsid w:val="0070774A"/>
    <w:rsid w:val="007200CB"/>
    <w:rsid w:val="007207C4"/>
    <w:rsid w:val="00724BA8"/>
    <w:rsid w:val="0072645E"/>
    <w:rsid w:val="0073106F"/>
    <w:rsid w:val="00731FE0"/>
    <w:rsid w:val="00732EC7"/>
    <w:rsid w:val="00733153"/>
    <w:rsid w:val="00737FF5"/>
    <w:rsid w:val="0074083C"/>
    <w:rsid w:val="007464D1"/>
    <w:rsid w:val="00747248"/>
    <w:rsid w:val="00752301"/>
    <w:rsid w:val="007549C4"/>
    <w:rsid w:val="00756722"/>
    <w:rsid w:val="0075673F"/>
    <w:rsid w:val="00760127"/>
    <w:rsid w:val="00761B36"/>
    <w:rsid w:val="00772565"/>
    <w:rsid w:val="00774899"/>
    <w:rsid w:val="0078415D"/>
    <w:rsid w:val="007967EC"/>
    <w:rsid w:val="00796D7D"/>
    <w:rsid w:val="007B728A"/>
    <w:rsid w:val="007C0BFC"/>
    <w:rsid w:val="007C33EC"/>
    <w:rsid w:val="007D6FD2"/>
    <w:rsid w:val="007D7115"/>
    <w:rsid w:val="007D7A0E"/>
    <w:rsid w:val="007E54F6"/>
    <w:rsid w:val="007E5E2E"/>
    <w:rsid w:val="007E7CAA"/>
    <w:rsid w:val="007F0AA3"/>
    <w:rsid w:val="0080347B"/>
    <w:rsid w:val="008062C5"/>
    <w:rsid w:val="00806A31"/>
    <w:rsid w:val="00807E93"/>
    <w:rsid w:val="0081049B"/>
    <w:rsid w:val="0081119B"/>
    <w:rsid w:val="0081213D"/>
    <w:rsid w:val="00815C75"/>
    <w:rsid w:val="00822711"/>
    <w:rsid w:val="00830256"/>
    <w:rsid w:val="00837700"/>
    <w:rsid w:val="00841FC3"/>
    <w:rsid w:val="008475A6"/>
    <w:rsid w:val="0084773A"/>
    <w:rsid w:val="0085192C"/>
    <w:rsid w:val="00855C6E"/>
    <w:rsid w:val="00856E2D"/>
    <w:rsid w:val="00863D63"/>
    <w:rsid w:val="00867A52"/>
    <w:rsid w:val="00867F5C"/>
    <w:rsid w:val="00882B84"/>
    <w:rsid w:val="00884989"/>
    <w:rsid w:val="0088702C"/>
    <w:rsid w:val="00887FD1"/>
    <w:rsid w:val="0089058C"/>
    <w:rsid w:val="008940F0"/>
    <w:rsid w:val="0089729A"/>
    <w:rsid w:val="008A6686"/>
    <w:rsid w:val="008A675A"/>
    <w:rsid w:val="008A69BE"/>
    <w:rsid w:val="008A73AF"/>
    <w:rsid w:val="008B036F"/>
    <w:rsid w:val="008B0BA9"/>
    <w:rsid w:val="008B59B7"/>
    <w:rsid w:val="008C6848"/>
    <w:rsid w:val="008C73AB"/>
    <w:rsid w:val="008D09CA"/>
    <w:rsid w:val="008D1129"/>
    <w:rsid w:val="008D725A"/>
    <w:rsid w:val="008E09F8"/>
    <w:rsid w:val="008E3CBB"/>
    <w:rsid w:val="008F3167"/>
    <w:rsid w:val="00910E20"/>
    <w:rsid w:val="00911522"/>
    <w:rsid w:val="00911A0C"/>
    <w:rsid w:val="00911B66"/>
    <w:rsid w:val="009160E4"/>
    <w:rsid w:val="009163E3"/>
    <w:rsid w:val="009176E8"/>
    <w:rsid w:val="00931E9C"/>
    <w:rsid w:val="009329E3"/>
    <w:rsid w:val="00935104"/>
    <w:rsid w:val="00935473"/>
    <w:rsid w:val="009363B3"/>
    <w:rsid w:val="00936666"/>
    <w:rsid w:val="009374BD"/>
    <w:rsid w:val="009604AE"/>
    <w:rsid w:val="00960EF3"/>
    <w:rsid w:val="00962FF2"/>
    <w:rsid w:val="00973842"/>
    <w:rsid w:val="009768B6"/>
    <w:rsid w:val="00977FBB"/>
    <w:rsid w:val="00980F6A"/>
    <w:rsid w:val="00984656"/>
    <w:rsid w:val="00992229"/>
    <w:rsid w:val="009936CC"/>
    <w:rsid w:val="0099798C"/>
    <w:rsid w:val="009B0E99"/>
    <w:rsid w:val="009B1509"/>
    <w:rsid w:val="009B4959"/>
    <w:rsid w:val="009B4FF1"/>
    <w:rsid w:val="009C41B4"/>
    <w:rsid w:val="009C7AAE"/>
    <w:rsid w:val="009D4A9A"/>
    <w:rsid w:val="009D5B0D"/>
    <w:rsid w:val="009D7B47"/>
    <w:rsid w:val="009E2AF7"/>
    <w:rsid w:val="009F0320"/>
    <w:rsid w:val="009F43B7"/>
    <w:rsid w:val="00A00BF3"/>
    <w:rsid w:val="00A047D8"/>
    <w:rsid w:val="00A0680C"/>
    <w:rsid w:val="00A0698A"/>
    <w:rsid w:val="00A10277"/>
    <w:rsid w:val="00A10D07"/>
    <w:rsid w:val="00A144BA"/>
    <w:rsid w:val="00A20517"/>
    <w:rsid w:val="00A341C0"/>
    <w:rsid w:val="00A42F99"/>
    <w:rsid w:val="00A44CED"/>
    <w:rsid w:val="00A519D5"/>
    <w:rsid w:val="00A528FF"/>
    <w:rsid w:val="00A6053F"/>
    <w:rsid w:val="00A771EA"/>
    <w:rsid w:val="00A84F21"/>
    <w:rsid w:val="00A85C90"/>
    <w:rsid w:val="00A87BAB"/>
    <w:rsid w:val="00A87CA3"/>
    <w:rsid w:val="00A903E5"/>
    <w:rsid w:val="00A93E13"/>
    <w:rsid w:val="00A967EC"/>
    <w:rsid w:val="00AA2EE1"/>
    <w:rsid w:val="00AA3CF8"/>
    <w:rsid w:val="00AB3F3E"/>
    <w:rsid w:val="00AD5AD4"/>
    <w:rsid w:val="00AF0040"/>
    <w:rsid w:val="00AF0590"/>
    <w:rsid w:val="00AF3494"/>
    <w:rsid w:val="00AF4EDA"/>
    <w:rsid w:val="00B0394F"/>
    <w:rsid w:val="00B03F85"/>
    <w:rsid w:val="00B124AC"/>
    <w:rsid w:val="00B145BF"/>
    <w:rsid w:val="00B160CA"/>
    <w:rsid w:val="00B22811"/>
    <w:rsid w:val="00B26B06"/>
    <w:rsid w:val="00B31BC7"/>
    <w:rsid w:val="00B57687"/>
    <w:rsid w:val="00B61093"/>
    <w:rsid w:val="00B70B02"/>
    <w:rsid w:val="00B73442"/>
    <w:rsid w:val="00B83F0F"/>
    <w:rsid w:val="00B8481A"/>
    <w:rsid w:val="00B948E3"/>
    <w:rsid w:val="00BB29D0"/>
    <w:rsid w:val="00BD2556"/>
    <w:rsid w:val="00BD25B4"/>
    <w:rsid w:val="00BD61C5"/>
    <w:rsid w:val="00BE17B8"/>
    <w:rsid w:val="00BE4FE5"/>
    <w:rsid w:val="00BE7EC9"/>
    <w:rsid w:val="00C06785"/>
    <w:rsid w:val="00C166A0"/>
    <w:rsid w:val="00C16E3B"/>
    <w:rsid w:val="00C22F26"/>
    <w:rsid w:val="00C23571"/>
    <w:rsid w:val="00C26B53"/>
    <w:rsid w:val="00C27353"/>
    <w:rsid w:val="00C3375F"/>
    <w:rsid w:val="00C37D87"/>
    <w:rsid w:val="00C44A6C"/>
    <w:rsid w:val="00C54E75"/>
    <w:rsid w:val="00C6157E"/>
    <w:rsid w:val="00C62A3C"/>
    <w:rsid w:val="00C8150A"/>
    <w:rsid w:val="00C8452A"/>
    <w:rsid w:val="00C86196"/>
    <w:rsid w:val="00C87659"/>
    <w:rsid w:val="00C90D4C"/>
    <w:rsid w:val="00C9119C"/>
    <w:rsid w:val="00CB4A16"/>
    <w:rsid w:val="00CB7702"/>
    <w:rsid w:val="00CC4909"/>
    <w:rsid w:val="00CC4CE1"/>
    <w:rsid w:val="00CC688A"/>
    <w:rsid w:val="00CD621D"/>
    <w:rsid w:val="00CE0DCA"/>
    <w:rsid w:val="00CF5718"/>
    <w:rsid w:val="00D06C19"/>
    <w:rsid w:val="00D11AF6"/>
    <w:rsid w:val="00D17DCD"/>
    <w:rsid w:val="00D22736"/>
    <w:rsid w:val="00D23560"/>
    <w:rsid w:val="00D2600B"/>
    <w:rsid w:val="00D26CED"/>
    <w:rsid w:val="00D31153"/>
    <w:rsid w:val="00D311E2"/>
    <w:rsid w:val="00D34B1B"/>
    <w:rsid w:val="00D46C7F"/>
    <w:rsid w:val="00D5576F"/>
    <w:rsid w:val="00D603F2"/>
    <w:rsid w:val="00D604E2"/>
    <w:rsid w:val="00D62B58"/>
    <w:rsid w:val="00D63038"/>
    <w:rsid w:val="00D65FD9"/>
    <w:rsid w:val="00D6730E"/>
    <w:rsid w:val="00D70F7A"/>
    <w:rsid w:val="00D73702"/>
    <w:rsid w:val="00D75422"/>
    <w:rsid w:val="00D8180F"/>
    <w:rsid w:val="00D950BB"/>
    <w:rsid w:val="00D96C24"/>
    <w:rsid w:val="00DA0F89"/>
    <w:rsid w:val="00DA40A5"/>
    <w:rsid w:val="00DA7968"/>
    <w:rsid w:val="00DB62A0"/>
    <w:rsid w:val="00DB6E56"/>
    <w:rsid w:val="00DB7880"/>
    <w:rsid w:val="00DB7EAF"/>
    <w:rsid w:val="00DC181F"/>
    <w:rsid w:val="00DC226F"/>
    <w:rsid w:val="00DC4DD0"/>
    <w:rsid w:val="00DD61D8"/>
    <w:rsid w:val="00DD63E6"/>
    <w:rsid w:val="00DE37EA"/>
    <w:rsid w:val="00DF0C4C"/>
    <w:rsid w:val="00DF126E"/>
    <w:rsid w:val="00DF501D"/>
    <w:rsid w:val="00E0556E"/>
    <w:rsid w:val="00E10F77"/>
    <w:rsid w:val="00E12BD8"/>
    <w:rsid w:val="00E1339D"/>
    <w:rsid w:val="00E17FCA"/>
    <w:rsid w:val="00E226E3"/>
    <w:rsid w:val="00E333C7"/>
    <w:rsid w:val="00E37E38"/>
    <w:rsid w:val="00E43F8E"/>
    <w:rsid w:val="00E45CA1"/>
    <w:rsid w:val="00E50B43"/>
    <w:rsid w:val="00E60703"/>
    <w:rsid w:val="00E632F9"/>
    <w:rsid w:val="00E723AB"/>
    <w:rsid w:val="00E83643"/>
    <w:rsid w:val="00E847A4"/>
    <w:rsid w:val="00E859DD"/>
    <w:rsid w:val="00E91869"/>
    <w:rsid w:val="00E97C64"/>
    <w:rsid w:val="00EA368F"/>
    <w:rsid w:val="00EA3B13"/>
    <w:rsid w:val="00EB4358"/>
    <w:rsid w:val="00EB6A81"/>
    <w:rsid w:val="00EB7C13"/>
    <w:rsid w:val="00EC1394"/>
    <w:rsid w:val="00EC2954"/>
    <w:rsid w:val="00EC5DDF"/>
    <w:rsid w:val="00ED1D97"/>
    <w:rsid w:val="00ED2E8E"/>
    <w:rsid w:val="00ED3883"/>
    <w:rsid w:val="00EE04F5"/>
    <w:rsid w:val="00EF0BD6"/>
    <w:rsid w:val="00EF52A6"/>
    <w:rsid w:val="00F01A96"/>
    <w:rsid w:val="00F0323C"/>
    <w:rsid w:val="00F077DE"/>
    <w:rsid w:val="00F11901"/>
    <w:rsid w:val="00F17107"/>
    <w:rsid w:val="00F17CB5"/>
    <w:rsid w:val="00F20162"/>
    <w:rsid w:val="00F372D1"/>
    <w:rsid w:val="00F4038E"/>
    <w:rsid w:val="00F41149"/>
    <w:rsid w:val="00F43093"/>
    <w:rsid w:val="00F47831"/>
    <w:rsid w:val="00F6167A"/>
    <w:rsid w:val="00F61C40"/>
    <w:rsid w:val="00F627FB"/>
    <w:rsid w:val="00F63C47"/>
    <w:rsid w:val="00F655E5"/>
    <w:rsid w:val="00F660E9"/>
    <w:rsid w:val="00F67D4F"/>
    <w:rsid w:val="00F75AD6"/>
    <w:rsid w:val="00F87A58"/>
    <w:rsid w:val="00F9519E"/>
    <w:rsid w:val="00FA3963"/>
    <w:rsid w:val="00FA3B62"/>
    <w:rsid w:val="00FA5E8A"/>
    <w:rsid w:val="00FB014D"/>
    <w:rsid w:val="00FB04B5"/>
    <w:rsid w:val="00FC2E8D"/>
    <w:rsid w:val="00FC76F4"/>
    <w:rsid w:val="00FC7B1D"/>
    <w:rsid w:val="00FD1FC8"/>
    <w:rsid w:val="00FE0F02"/>
    <w:rsid w:val="00FE5750"/>
    <w:rsid w:val="00FE58C5"/>
    <w:rsid w:val="00FE5DFB"/>
    <w:rsid w:val="00FE6EA2"/>
    <w:rsid w:val="00FF3F7D"/>
    <w:rsid w:val="00FF5412"/>
    <w:rsid w:val="00FF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B6CD4"/>
  <w15:chartTrackingRefBased/>
  <w15:docId w15:val="{9496E4AF-29F7-41DE-9DBE-EF013BA0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660E9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F660E9"/>
    <w:pPr>
      <w:spacing w:after="60"/>
      <w:outlineLvl w:val="0"/>
    </w:pPr>
    <w:rPr>
      <w:rFonts w:asciiTheme="majorBidi" w:hAnsiTheme="majorBidi" w:cstheme="majorBidi"/>
      <w:b/>
      <w:bCs/>
      <w:sz w:val="28"/>
    </w:rPr>
  </w:style>
  <w:style w:type="paragraph" w:styleId="Kop2">
    <w:name w:val="heading 2"/>
    <w:basedOn w:val="Paragraph"/>
    <w:next w:val="Standaard"/>
    <w:link w:val="Kop2Char"/>
    <w:uiPriority w:val="9"/>
    <w:unhideWhenUsed/>
    <w:qFormat/>
    <w:rsid w:val="00051DD7"/>
    <w:pPr>
      <w:spacing w:after="60"/>
      <w:ind w:firstLine="0"/>
      <w:outlineLvl w:val="1"/>
    </w:pPr>
    <w:rPr>
      <w:rFonts w:asciiTheme="majorBidi" w:hAnsiTheme="majorBidi" w:cstheme="majorBidi"/>
      <w:i/>
      <w:sz w:val="28"/>
      <w:lang w:val="en-GB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08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660E9"/>
    <w:rPr>
      <w:rFonts w:asciiTheme="majorBidi" w:eastAsia="Times New Roman" w:hAnsiTheme="majorBidi" w:cstheme="majorBidi"/>
      <w:b/>
      <w:bCs/>
      <w:sz w:val="28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051DD7"/>
    <w:rPr>
      <w:rFonts w:asciiTheme="majorBidi" w:eastAsia="Times New Roman" w:hAnsiTheme="majorBidi" w:cstheme="majorBidi"/>
      <w:i/>
      <w:sz w:val="28"/>
      <w:szCs w:val="24"/>
      <w:lang w:val="en-GB"/>
    </w:rPr>
  </w:style>
  <w:style w:type="character" w:customStyle="1" w:styleId="Kop3Char">
    <w:name w:val="Kop 3 Char"/>
    <w:basedOn w:val="Standaardalinea-lettertype"/>
    <w:link w:val="Kop3"/>
    <w:uiPriority w:val="9"/>
    <w:rsid w:val="002808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Standaard"/>
    <w:rsid w:val="0028083D"/>
    <w:pPr>
      <w:ind w:firstLine="720"/>
    </w:pPr>
  </w:style>
  <w:style w:type="paragraph" w:customStyle="1" w:styleId="Head">
    <w:name w:val="Head"/>
    <w:basedOn w:val="Standaard"/>
    <w:rsid w:val="0028083D"/>
    <w:pPr>
      <w:keepNext/>
      <w:spacing w:after="120"/>
      <w:jc w:val="center"/>
      <w:outlineLvl w:val="0"/>
    </w:pPr>
    <w:rPr>
      <w:b/>
      <w:bCs/>
      <w:kern w:val="28"/>
      <w:sz w:val="28"/>
      <w:szCs w:val="28"/>
    </w:rPr>
  </w:style>
  <w:style w:type="character" w:styleId="Hyperlink">
    <w:name w:val="Hyperlink"/>
    <w:uiPriority w:val="99"/>
    <w:rsid w:val="0028083D"/>
    <w:rPr>
      <w:color w:val="0000FF"/>
      <w:u w:val="single"/>
    </w:rPr>
  </w:style>
  <w:style w:type="paragraph" w:customStyle="1" w:styleId="Teaser">
    <w:name w:val="Teaser"/>
    <w:basedOn w:val="Standaard"/>
    <w:rsid w:val="0028083D"/>
  </w:style>
  <w:style w:type="paragraph" w:styleId="Bibliografie">
    <w:name w:val="Bibliography"/>
    <w:basedOn w:val="Standaard"/>
    <w:next w:val="Standaard"/>
    <w:uiPriority w:val="37"/>
    <w:unhideWhenUsed/>
    <w:rsid w:val="0028083D"/>
    <w:pPr>
      <w:tabs>
        <w:tab w:val="left" w:pos="504"/>
      </w:tabs>
      <w:ind w:left="504" w:hanging="504"/>
    </w:pPr>
  </w:style>
  <w:style w:type="paragraph" w:customStyle="1" w:styleId="Acknowledgement">
    <w:name w:val="Acknowledgement"/>
    <w:basedOn w:val="Standaard"/>
    <w:rsid w:val="0028083D"/>
    <w:pPr>
      <w:ind w:left="720" w:hanging="720"/>
    </w:pPr>
  </w:style>
  <w:style w:type="table" w:customStyle="1" w:styleId="TableGridLight1">
    <w:name w:val="Table Grid Light1"/>
    <w:basedOn w:val="Standaardtabel"/>
    <w:uiPriority w:val="99"/>
    <w:rsid w:val="0028083D"/>
    <w:pPr>
      <w:spacing w:after="0" w:line="240" w:lineRule="auto"/>
    </w:pPr>
    <w:rPr>
      <w:rFonts w:ascii="Calibri" w:eastAsia="Calibri" w:hAnsi="Calibri" w:cs="Arial"/>
      <w:sz w:val="20"/>
      <w:szCs w:val="20"/>
      <w:lang w:val="nl-NL" w:eastAsia="nl-N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Verwijzingopmerking">
    <w:name w:val="annotation reference"/>
    <w:uiPriority w:val="99"/>
    <w:rsid w:val="0028083D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rsid w:val="0028083D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8083D"/>
    <w:rPr>
      <w:rFonts w:ascii="Times New Roman" w:eastAsia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28083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8083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083D"/>
    <w:rPr>
      <w:rFonts w:ascii="Segoe UI" w:eastAsia="Times New Roman" w:hAnsi="Segoe UI" w:cs="Segoe UI"/>
      <w:sz w:val="18"/>
      <w:szCs w:val="18"/>
    </w:rPr>
  </w:style>
  <w:style w:type="character" w:customStyle="1" w:styleId="fontstyle01">
    <w:name w:val="fontstyle01"/>
    <w:basedOn w:val="Standaardalinea-lettertype"/>
    <w:rsid w:val="0028083D"/>
    <w:rPr>
      <w:rFonts w:ascii="NewCenturySchlbk-Bold" w:hAnsi="NewCenturySchlbk-Bold" w:hint="default"/>
      <w:b/>
      <w:bCs/>
      <w:i w:val="0"/>
      <w:iCs w:val="0"/>
      <w:color w:val="000000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8083D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8083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280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uucc">
    <w:name w:val="s3uucc"/>
    <w:basedOn w:val="Standaardalinea-lettertype"/>
    <w:rsid w:val="0028083D"/>
  </w:style>
  <w:style w:type="character" w:styleId="Nadruk">
    <w:name w:val="Emphasis"/>
    <w:basedOn w:val="Standaardalinea-lettertype"/>
    <w:uiPriority w:val="20"/>
    <w:qFormat/>
    <w:rsid w:val="0028083D"/>
    <w:rPr>
      <w:i/>
      <w:iCs/>
    </w:rPr>
  </w:style>
  <w:style w:type="paragraph" w:styleId="Normaalweb">
    <w:name w:val="Normal (Web)"/>
    <w:basedOn w:val="Standaard"/>
    <w:uiPriority w:val="99"/>
    <w:semiHidden/>
    <w:unhideWhenUsed/>
    <w:rsid w:val="0028083D"/>
    <w:pPr>
      <w:spacing w:before="100" w:beforeAutospacing="1" w:after="100" w:afterAutospacing="1"/>
    </w:pPr>
  </w:style>
  <w:style w:type="paragraph" w:styleId="Titel">
    <w:name w:val="Title"/>
    <w:basedOn w:val="Standaard"/>
    <w:next w:val="Standaard"/>
    <w:link w:val="TitelChar"/>
    <w:uiPriority w:val="10"/>
    <w:qFormat/>
    <w:rsid w:val="00F660E9"/>
    <w:pPr>
      <w:spacing w:after="120"/>
      <w:jc w:val="center"/>
    </w:pPr>
    <w:rPr>
      <w:rFonts w:asciiTheme="majorBidi" w:hAnsiTheme="majorBidi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F660E9"/>
    <w:rPr>
      <w:rFonts w:asciiTheme="majorBidi" w:eastAsia="Times New Roman" w:hAnsiTheme="majorBidi" w:cstheme="majorBidi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Standaardalinea-lettertype"/>
    <w:rsid w:val="00F87A58"/>
  </w:style>
  <w:style w:type="paragraph" w:styleId="Koptekst">
    <w:name w:val="header"/>
    <w:basedOn w:val="Standaard"/>
    <w:link w:val="KoptekstChar"/>
    <w:uiPriority w:val="99"/>
    <w:unhideWhenUsed/>
    <w:rsid w:val="00ED2E8E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D2E8E"/>
    <w:rPr>
      <w:rFonts w:ascii="Times New Roman" w:eastAsia="Times New Roman" w:hAnsi="Times New Roman"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ED2E8E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D2E8E"/>
    <w:rPr>
      <w:rFonts w:ascii="Times New Roman" w:eastAsia="Times New Roman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39"/>
    <w:rsid w:val="0068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F9519E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200CB"/>
    <w:rPr>
      <w:color w:val="605E5C"/>
      <w:shd w:val="clear" w:color="auto" w:fill="E1DFDD"/>
    </w:rPr>
  </w:style>
  <w:style w:type="character" w:styleId="Regelnummer">
    <w:name w:val="line number"/>
    <w:basedOn w:val="Standaardalinea-lettertype"/>
    <w:uiPriority w:val="99"/>
    <w:semiHidden/>
    <w:unhideWhenUsed/>
    <w:rsid w:val="00C91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613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8021796-1E93-4897-A8EC-095E5A1D1304}">
  <we:reference id="wa104380122" version="2.1.0.1" store="en-US" storeType="OMEX"/>
  <we:alternateReferences>
    <we:reference id="wa104380122" version="2.1.0.1" store="WA104380122" storeType="OMEX"/>
  </we:alternateReferences>
  <we:properties>
    <we:property name="citations" value="{&quot;567458481&quot;:{&quot;referencesIds&quot;:[&quot;627&quot;],&quot;referencesOptions&quot;:{&quot;62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67458481},&quot;-1215879869&quot;:{&quot;referencesIds&quot;:[&quot;604&quot;],&quot;referencesOptions&quot;:{&quot;60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15879869}}"/>
    <we:property name="currentStyle" value="{&quot;id&quot;:&quot;16568&quot;,&quot;styleType&quot;:&quot;refworks&quot;,&quot;name&quot;:&quot;Vancouver (STM)&quot;,&quot;isInstitutional&quot;:false,&quot;isSorted&quot;:false,&quot;usesNumbers&quot;:false}"/>
    <we:property name="rcm.version" value="2"/>
    <we:property name="rw.control.unlocked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0C76C-4D4B-4C1D-8B52-66975BB3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985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Hazim Allos</dc:creator>
  <cp:keywords/>
  <dc:description/>
  <cp:lastModifiedBy>Eskandari, S (int)</cp:lastModifiedBy>
  <cp:revision>4</cp:revision>
  <dcterms:created xsi:type="dcterms:W3CDTF">2022-05-24T06:00:00Z</dcterms:created>
  <dcterms:modified xsi:type="dcterms:W3CDTF">2022-05-24T06:02:00Z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zotero-version="5.0.80"&gt;&lt;session id="BuZLu16o"/&gt;&lt;style id="http://www.zotero.org/styles/vancouver" locale="en-US" hasBibliography="1" bibliographyStyleHasBeenSet="1"/&gt;&lt;prefs&gt;&lt;pref name="fieldType" value="Field"/&gt;&lt;/prefs&gt;&lt;/data&gt;</vt:lpwstr>
  </property>
  <property fmtid="{D5CDD505-2E9C-101B-9397-08002B2CF9AE}" pid="3" name="Mendeley Recent Style Id 0_1">
    <vt:lpwstr>http://www.zotero.org/styles/american-sociological-association</vt:lpwstr>
  </property>
  <property fmtid="{D5CDD505-2E9C-101B-9397-08002B2CF9AE}" pid="4" name="Mendeley Recent Style Name 0_1">
    <vt:lpwstr>American Sociological Association 6th edition</vt:lpwstr>
  </property>
  <property fmtid="{D5CDD505-2E9C-101B-9397-08002B2CF9AE}" pid="5" name="Mendeley Recent Style Id 1_1">
    <vt:lpwstr>http://www.zotero.org/styles/chicago-author-date</vt:lpwstr>
  </property>
  <property fmtid="{D5CDD505-2E9C-101B-9397-08002B2CF9AE}" pid="6" name="Mendeley Recent Style Name 1_1">
    <vt:lpwstr>Chicago Manual of Style 17th edition (author-date)</vt:lpwstr>
  </property>
  <property fmtid="{D5CDD505-2E9C-101B-9397-08002B2CF9AE}" pid="7" name="Mendeley Recent Style Id 2_1">
    <vt:lpwstr>http://www.zotero.org/styles/harvard-cite-them-right</vt:lpwstr>
  </property>
  <property fmtid="{D5CDD505-2E9C-101B-9397-08002B2CF9AE}" pid="8" name="Mendeley Recent Style Name 2_1">
    <vt:lpwstr>Cite Them Right 10th edition - Harvard</vt:lpwstr>
  </property>
  <property fmtid="{D5CDD505-2E9C-101B-9397-08002B2CF9AE}" pid="9" name="Mendeley Recent Style Id 3_1">
    <vt:lpwstr>http://www.zotero.org/styles/frontiers-in-immunology</vt:lpwstr>
  </property>
  <property fmtid="{D5CDD505-2E9C-101B-9397-08002B2CF9AE}" pid="10" name="Mendeley Recent Style Name 3_1">
    <vt:lpwstr>Frontiers in Immunology</vt:lpwstr>
  </property>
  <property fmtid="{D5CDD505-2E9C-101B-9397-08002B2CF9AE}" pid="11" name="Mendeley Recent Style Id 4_1">
    <vt:lpwstr>http://www.zotero.org/styles/ieee</vt:lpwstr>
  </property>
  <property fmtid="{D5CDD505-2E9C-101B-9397-08002B2CF9AE}" pid="12" name="Mendeley Recent Style Name 4_1">
    <vt:lpwstr>IEEE</vt:lpwstr>
  </property>
  <property fmtid="{D5CDD505-2E9C-101B-9397-08002B2CF9AE}" pid="13" name="Mendeley Recent Style Id 5_1">
    <vt:lpwstr>http://www.zotero.org/styles/immunity</vt:lpwstr>
  </property>
  <property fmtid="{D5CDD505-2E9C-101B-9397-08002B2CF9AE}" pid="14" name="Mendeley Recent Style Name 5_1">
    <vt:lpwstr>Immunity</vt:lpwstr>
  </property>
  <property fmtid="{D5CDD505-2E9C-101B-9397-08002B2CF9AE}" pid="15" name="Mendeley Recent Style Id 6_1">
    <vt:lpwstr>http://www.zotero.org/styles/journal-of-the-american-society-of-nephrology</vt:lpwstr>
  </property>
  <property fmtid="{D5CDD505-2E9C-101B-9397-08002B2CF9AE}" pid="16" name="Mendeley Recent Style Name 6_1">
    <vt:lpwstr>Journal of the American Society of Nephrology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Citation Style_1">
    <vt:lpwstr>http://www.zotero.org/styles/frontiers-in-immunology</vt:lpwstr>
  </property>
  <property fmtid="{D5CDD505-2E9C-101B-9397-08002B2CF9AE}" pid="25" name="Mendeley Unique User Id_1">
    <vt:lpwstr>a7a33166-ad11-3ac6-8e3d-0382d596c5df</vt:lpwstr>
  </property>
</Properties>
</file>